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911084" w14:paraId="4D88ABBC" w14:textId="77777777">
        <w:trPr>
          <w:trHeight w:val="1287"/>
          <w:jc w:val="center"/>
        </w:trPr>
        <w:tc>
          <w:tcPr>
            <w:tcW w:w="2667" w:type="dxa"/>
            <w:tcBorders>
              <w:top w:val="nil"/>
              <w:bottom w:val="nil"/>
              <w:right w:val="nil"/>
            </w:tcBorders>
            <w:hideMark/>
          </w:tcPr>
          <w:p w14:paraId="31C7BB01" w14:textId="77777777" w:rsidR="00911084" w:rsidRDefault="001C42BF">
            <w:pPr>
              <w:ind w:hanging="10"/>
              <w:jc w:val="left"/>
            </w:pPr>
            <w:r>
              <w:rPr>
                <w:noProof/>
                <w:lang w:eastAsia="en-GB"/>
              </w:rPr>
              <mc:AlternateContent>
                <mc:Choice Requires="wps">
                  <w:drawing>
                    <wp:anchor distT="0" distB="0" distL="114300" distR="114300" simplePos="0" relativeHeight="251657728" behindDoc="0" locked="0" layoutInCell="1" allowOverlap="1" wp14:anchorId="77A31569" wp14:editId="467950FC">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E110"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"/>
                  </w:pict>
                </mc:Fallback>
              </mc:AlternateContent>
            </w:r>
          </w:p>
        </w:tc>
        <w:tc>
          <w:tcPr>
            <w:tcW w:w="4061" w:type="dxa"/>
            <w:tcBorders>
              <w:left w:val="nil"/>
              <w:right w:val="nil"/>
            </w:tcBorders>
            <w:hideMark/>
          </w:tcPr>
          <w:p w14:paraId="565DF558" w14:textId="77777777" w:rsidR="00911084" w:rsidRDefault="001C42BF">
            <w:pPr>
              <w:jc w:val="left"/>
            </w:pPr>
            <w:r>
              <w:rPr>
                <w:noProof/>
                <w:lang w:eastAsia="en-GB"/>
              </w:rPr>
              <w:drawing>
                <wp:inline distT="0" distB="0" distL="0" distR="0" wp14:anchorId="3724A67E" wp14:editId="14140C8A">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6D9A24F5" w14:textId="77777777" w:rsidR="00911084" w:rsidRDefault="001C42BF">
            <w:pPr>
              <w:jc w:val="right"/>
            </w:pPr>
            <w:r>
              <w:rPr>
                <w:b/>
                <w:i/>
                <w:sz w:val="48"/>
                <w:szCs w:val="48"/>
              </w:rPr>
              <w:t>E</w:t>
            </w:r>
          </w:p>
        </w:tc>
      </w:tr>
    </w:tbl>
    <w:p w14:paraId="0F313852" w14:textId="77777777" w:rsidR="00911084" w:rsidRDefault="00911084">
      <w:bookmarkStart w:id="0" w:name="headings"/>
      <w:bookmarkEnd w:id="0"/>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911084" w14:paraId="4E4FEBB4" w14:textId="77777777">
        <w:trPr>
          <w:jc w:val="center"/>
        </w:trPr>
        <w:tc>
          <w:tcPr>
            <w:tcW w:w="4692" w:type="dxa"/>
          </w:tcPr>
          <w:p w14:paraId="6E4A6047" w14:textId="77777777" w:rsidR="00911084" w:rsidRDefault="00911084">
            <w:pPr>
              <w:spacing w:line="120" w:lineRule="exact"/>
              <w:jc w:val="left"/>
            </w:pPr>
          </w:p>
          <w:p w14:paraId="5522AD29" w14:textId="77777777" w:rsidR="00DF7757" w:rsidRDefault="00DF7757">
            <w:pPr>
              <w:jc w:val="left"/>
            </w:pPr>
            <w:bookmarkStart w:id="1" w:name="sub_committee"/>
            <w:bookmarkEnd w:id="1"/>
            <w:r>
              <w:t>SUB-COMMITTEE ON SHIP SYSTEMS AND EQUIPMENT</w:t>
            </w:r>
            <w:bookmarkStart w:id="2" w:name="session"/>
            <w:bookmarkEnd w:id="2"/>
            <w:r>
              <w:t xml:space="preserve"> </w:t>
            </w:r>
          </w:p>
          <w:p w14:paraId="134F8145" w14:textId="3A93ADA8" w:rsidR="00911084" w:rsidRDefault="00DF7757">
            <w:pPr>
              <w:jc w:val="left"/>
            </w:pPr>
            <w:r>
              <w:t>8th</w:t>
            </w:r>
            <w:r w:rsidR="001C42BF">
              <w:t xml:space="preserve"> session </w:t>
            </w:r>
          </w:p>
          <w:p w14:paraId="6C1EF39A" w14:textId="4E79D7A1" w:rsidR="00911084" w:rsidRDefault="001C42BF">
            <w:pPr>
              <w:spacing w:after="58"/>
              <w:jc w:val="left"/>
            </w:pPr>
            <w:r>
              <w:t xml:space="preserve">Agenda item </w:t>
            </w:r>
            <w:bookmarkStart w:id="3" w:name="agenda"/>
            <w:bookmarkEnd w:id="3"/>
            <w:r w:rsidR="00804000" w:rsidRPr="00742103">
              <w:t>1</w:t>
            </w:r>
            <w:r w:rsidR="00DF7757" w:rsidRPr="00742103">
              <w:t>0</w:t>
            </w:r>
          </w:p>
        </w:tc>
        <w:tc>
          <w:tcPr>
            <w:tcW w:w="4465" w:type="dxa"/>
          </w:tcPr>
          <w:p w14:paraId="7A745C58" w14:textId="77777777" w:rsidR="00911084" w:rsidRPr="00DE73AA" w:rsidRDefault="00911084">
            <w:pPr>
              <w:spacing w:line="120" w:lineRule="exact"/>
              <w:jc w:val="right"/>
              <w:rPr>
                <w:lang w:val="fr-FR"/>
              </w:rPr>
            </w:pPr>
          </w:p>
          <w:p w14:paraId="5D07907B" w14:textId="23D5558B" w:rsidR="00911084" w:rsidRPr="00DE73AA" w:rsidRDefault="00DF7757">
            <w:pPr>
              <w:tabs>
                <w:tab w:val="clear" w:pos="851"/>
              </w:tabs>
              <w:jc w:val="right"/>
              <w:rPr>
                <w:lang w:val="fr-FR"/>
              </w:rPr>
            </w:pPr>
            <w:bookmarkStart w:id="4" w:name="symbol"/>
            <w:bookmarkEnd w:id="4"/>
            <w:r>
              <w:rPr>
                <w:lang w:val="fr-FR"/>
              </w:rPr>
              <w:t>SSE 8/</w:t>
            </w:r>
            <w:r w:rsidR="000B182F" w:rsidRPr="00742103">
              <w:rPr>
                <w:lang w:val="fr-FR"/>
              </w:rPr>
              <w:t>10/</w:t>
            </w:r>
            <w:r w:rsidR="00AF238F">
              <w:rPr>
                <w:lang w:val="fr-FR"/>
              </w:rPr>
              <w:t>[</w:t>
            </w:r>
            <w:r w:rsidR="000B182F" w:rsidRPr="00AF238F">
              <w:rPr>
                <w:lang w:val="fr-FR"/>
              </w:rPr>
              <w:t>XX</w:t>
            </w:r>
            <w:r w:rsidR="00AF238F" w:rsidRPr="00AF238F">
              <w:rPr>
                <w:lang w:val="fr-FR"/>
              </w:rPr>
              <w:t>]</w:t>
            </w:r>
            <w:r w:rsidRPr="00AF238F">
              <w:rPr>
                <w:lang w:val="fr-FR"/>
              </w:rPr>
              <w:t xml:space="preserve"> </w:t>
            </w:r>
          </w:p>
          <w:p w14:paraId="063EA9E9" w14:textId="7A4B8821" w:rsidR="00911084" w:rsidRPr="00DE73AA" w:rsidRDefault="007F2B8D" w:rsidP="00CC53DC">
            <w:pPr>
              <w:tabs>
                <w:tab w:val="clear" w:pos="851"/>
              </w:tabs>
              <w:jc w:val="right"/>
              <w:rPr>
                <w:lang w:val="fr-FR"/>
              </w:rPr>
            </w:pPr>
            <w:r>
              <w:rPr>
                <w:lang w:val="fr-FR"/>
              </w:rPr>
              <w:t xml:space="preserve">07 </w:t>
            </w:r>
            <w:proofErr w:type="spellStart"/>
            <w:r>
              <w:rPr>
                <w:lang w:val="fr-FR"/>
              </w:rPr>
              <w:t>Jan</w:t>
            </w:r>
            <w:r w:rsidR="003C461E">
              <w:rPr>
                <w:lang w:val="fr-FR"/>
              </w:rPr>
              <w:t>u</w:t>
            </w:r>
            <w:r>
              <w:rPr>
                <w:lang w:val="fr-FR"/>
              </w:rPr>
              <w:t>ary</w:t>
            </w:r>
            <w:proofErr w:type="spellEnd"/>
            <w:r>
              <w:rPr>
                <w:lang w:val="fr-FR"/>
              </w:rPr>
              <w:t xml:space="preserve"> </w:t>
            </w:r>
            <w:r w:rsidR="001C42BF" w:rsidRPr="00DE73AA">
              <w:rPr>
                <w:lang w:val="fr-FR"/>
              </w:rPr>
              <w:t>20</w:t>
            </w:r>
            <w:r w:rsidR="00804000">
              <w:rPr>
                <w:lang w:val="fr-FR"/>
              </w:rPr>
              <w:t>21</w:t>
            </w:r>
          </w:p>
          <w:p w14:paraId="2D090059" w14:textId="0B8D020E" w:rsidR="00911084" w:rsidRDefault="001C42BF">
            <w:pPr>
              <w:tabs>
                <w:tab w:val="clear" w:pos="851"/>
              </w:tabs>
              <w:spacing w:after="58"/>
              <w:ind w:left="-924"/>
              <w:jc w:val="right"/>
            </w:pPr>
            <w:bookmarkStart w:id="5" w:name="language"/>
            <w:bookmarkEnd w:id="5"/>
            <w:r>
              <w:t>Original: ENGLISH</w:t>
            </w:r>
          </w:p>
          <w:p w14:paraId="4D5F32B8" w14:textId="61D2611D" w:rsidR="00DD2A0C" w:rsidRDefault="00DD2A0C">
            <w:pPr>
              <w:tabs>
                <w:tab w:val="clear" w:pos="851"/>
              </w:tabs>
              <w:spacing w:after="58"/>
              <w:ind w:left="-924"/>
              <w:jc w:val="right"/>
            </w:pPr>
            <w:r>
              <w:t xml:space="preserve">Pre-session public release: </w:t>
            </w:r>
            <w:sdt>
              <w:sdtPr>
                <w:rPr>
                  <w:noProof/>
                  <w:lang w:eastAsia="en-GB"/>
                </w:rPr>
                <w:id w:val="497314832"/>
                <w14:checkbox>
                  <w14:checked w14:val="1"/>
                  <w14:checkedState w14:val="2612" w14:font="MS Gothic"/>
                  <w14:uncheckedState w14:val="2610" w14:font="MS Gothic"/>
                </w14:checkbox>
              </w:sdtPr>
              <w:sdtEndPr/>
              <w:sdtContent>
                <w:r w:rsidR="001F3D14">
                  <w:rPr>
                    <w:rFonts w:ascii="MS Gothic" w:eastAsia="MS Gothic" w:hAnsi="MS Gothic" w:hint="eastAsia"/>
                    <w:noProof/>
                    <w:lang w:eastAsia="en-GB"/>
                  </w:rPr>
                  <w:t>☒</w:t>
                </w:r>
              </w:sdtContent>
            </w:sdt>
          </w:p>
          <w:p w14:paraId="58299542" w14:textId="77777777" w:rsidR="00DD2A0C" w:rsidRDefault="00DD2A0C">
            <w:pPr>
              <w:tabs>
                <w:tab w:val="clear" w:pos="851"/>
              </w:tabs>
              <w:spacing w:after="58"/>
              <w:ind w:left="-924"/>
              <w:jc w:val="right"/>
            </w:pPr>
          </w:p>
        </w:tc>
      </w:tr>
    </w:tbl>
    <w:p w14:paraId="6B12335A" w14:textId="77777777" w:rsidR="00911084" w:rsidRDefault="00911084" w:rsidP="00DD2A0C">
      <w:pPr>
        <w:tabs>
          <w:tab w:val="clear" w:pos="851"/>
        </w:tabs>
      </w:pPr>
    </w:p>
    <w:p w14:paraId="6D58C0A1" w14:textId="57680FC1" w:rsidR="00911084" w:rsidRDefault="00DF7757">
      <w:pPr>
        <w:tabs>
          <w:tab w:val="clear" w:pos="851"/>
        </w:tabs>
        <w:jc w:val="center"/>
        <w:rPr>
          <w:rFonts w:ascii="Arial Bold" w:hAnsi="Arial Bold"/>
          <w:b/>
          <w:caps/>
        </w:rPr>
      </w:pPr>
      <w:r w:rsidRPr="00DF7757">
        <w:rPr>
          <w:rFonts w:ascii="Arial Bold" w:hAnsi="Arial Bold"/>
          <w:b/>
          <w:caps/>
        </w:rPr>
        <w:t>Development of amendments to SOLAS chapter II-2 and the FSS Code concerning detection and control of fires in cargo holds and on the cargo deck of containerships</w:t>
      </w:r>
    </w:p>
    <w:p w14:paraId="4E314397" w14:textId="77777777" w:rsidR="00DF7757" w:rsidRDefault="00DF7757">
      <w:pPr>
        <w:tabs>
          <w:tab w:val="clear" w:pos="851"/>
        </w:tabs>
        <w:jc w:val="center"/>
        <w:rPr>
          <w:b/>
        </w:rPr>
      </w:pPr>
    </w:p>
    <w:p w14:paraId="6CE47B2E" w14:textId="7E9FCB9E" w:rsidR="00C503D1" w:rsidRPr="00DF7757" w:rsidRDefault="000B182F">
      <w:pPr>
        <w:tabs>
          <w:tab w:val="clear" w:pos="851"/>
        </w:tabs>
        <w:jc w:val="center"/>
        <w:rPr>
          <w:b/>
          <w:color w:val="FF0000"/>
        </w:rPr>
      </w:pPr>
      <w:r>
        <w:rPr>
          <w:b/>
          <w:color w:val="FF0000"/>
        </w:rPr>
        <w:t xml:space="preserve"> </w:t>
      </w:r>
      <w:r w:rsidRPr="00742103">
        <w:rPr>
          <w:b/>
        </w:rPr>
        <w:t>Comments on SSE 8/10</w:t>
      </w:r>
    </w:p>
    <w:p w14:paraId="1AF8164B" w14:textId="77777777" w:rsidR="00F41638" w:rsidRDefault="00F41638">
      <w:pPr>
        <w:tabs>
          <w:tab w:val="clear" w:pos="851"/>
        </w:tabs>
        <w:jc w:val="center"/>
        <w:rPr>
          <w:b/>
        </w:rPr>
      </w:pPr>
    </w:p>
    <w:p w14:paraId="3A7C056D" w14:textId="6CBCC5AF" w:rsidR="00911084" w:rsidRDefault="001C42BF">
      <w:pPr>
        <w:tabs>
          <w:tab w:val="clear" w:pos="851"/>
        </w:tabs>
        <w:jc w:val="center"/>
        <w:rPr>
          <w:b/>
        </w:rPr>
      </w:pPr>
      <w:r>
        <w:rPr>
          <w:b/>
        </w:rPr>
        <w:t xml:space="preserve">Submitted by </w:t>
      </w:r>
      <w:r w:rsidR="00E679BE">
        <w:rPr>
          <w:b/>
        </w:rPr>
        <w:t xml:space="preserve">Germany, </w:t>
      </w:r>
      <w:r w:rsidR="00833D38">
        <w:rPr>
          <w:b/>
        </w:rPr>
        <w:t>Liberia,</w:t>
      </w:r>
      <w:r w:rsidR="00C17157">
        <w:rPr>
          <w:b/>
        </w:rPr>
        <w:t xml:space="preserve"> </w:t>
      </w:r>
      <w:r w:rsidR="0095770E">
        <w:rPr>
          <w:b/>
        </w:rPr>
        <w:t xml:space="preserve">Panama, </w:t>
      </w:r>
      <w:r w:rsidR="00D66444">
        <w:rPr>
          <w:b/>
        </w:rPr>
        <w:t xml:space="preserve">Philippines, </w:t>
      </w:r>
      <w:r w:rsidR="00E76039">
        <w:rPr>
          <w:b/>
        </w:rPr>
        <w:t>I</w:t>
      </w:r>
      <w:r w:rsidR="0036384E">
        <w:rPr>
          <w:b/>
        </w:rPr>
        <w:t xml:space="preserve">ACS, </w:t>
      </w:r>
      <w:r w:rsidR="00C97A75">
        <w:rPr>
          <w:b/>
        </w:rPr>
        <w:t>ICS,</w:t>
      </w:r>
      <w:r w:rsidR="00095FCD">
        <w:rPr>
          <w:b/>
        </w:rPr>
        <w:t xml:space="preserve"> </w:t>
      </w:r>
      <w:r w:rsidR="00681339">
        <w:rPr>
          <w:b/>
        </w:rPr>
        <w:t xml:space="preserve">International Group of P&amp;I Associations, </w:t>
      </w:r>
      <w:r w:rsidR="000F20D8">
        <w:rPr>
          <w:b/>
        </w:rPr>
        <w:t xml:space="preserve">ITF, </w:t>
      </w:r>
      <w:r w:rsidR="00095FCD">
        <w:rPr>
          <w:b/>
        </w:rPr>
        <w:t>WSC</w:t>
      </w:r>
    </w:p>
    <w:p w14:paraId="42E90532" w14:textId="77777777" w:rsidR="00911084" w:rsidRDefault="00911084">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911084" w14:paraId="11F2D79D" w14:textId="77777777">
        <w:trPr>
          <w:jc w:val="center"/>
        </w:trPr>
        <w:tc>
          <w:tcPr>
            <w:tcW w:w="9000" w:type="dxa"/>
            <w:gridSpan w:val="2"/>
            <w:tcMar>
              <w:top w:w="85" w:type="dxa"/>
              <w:left w:w="85" w:type="dxa"/>
              <w:bottom w:w="85" w:type="dxa"/>
              <w:right w:w="85" w:type="dxa"/>
            </w:tcMar>
          </w:tcPr>
          <w:p w14:paraId="00792230" w14:textId="77777777" w:rsidR="00911084" w:rsidRDefault="00911084">
            <w:pPr>
              <w:spacing w:line="120" w:lineRule="exact"/>
              <w:rPr>
                <w:bCs/>
              </w:rPr>
            </w:pPr>
          </w:p>
          <w:p w14:paraId="422148CE" w14:textId="77777777" w:rsidR="00911084" w:rsidRDefault="001C42BF">
            <w:pPr>
              <w:tabs>
                <w:tab w:val="clear" w:pos="851"/>
              </w:tabs>
              <w:spacing w:after="58"/>
              <w:jc w:val="center"/>
              <w:rPr>
                <w:b/>
              </w:rPr>
            </w:pPr>
            <w:r>
              <w:rPr>
                <w:b/>
              </w:rPr>
              <w:t>SUMMARY</w:t>
            </w:r>
          </w:p>
        </w:tc>
      </w:tr>
      <w:tr w:rsidR="00911084" w14:paraId="130D27B8" w14:textId="77777777">
        <w:trPr>
          <w:jc w:val="center"/>
        </w:trPr>
        <w:tc>
          <w:tcPr>
            <w:tcW w:w="2245" w:type="dxa"/>
            <w:tcMar>
              <w:top w:w="85" w:type="dxa"/>
              <w:left w:w="85" w:type="dxa"/>
              <w:bottom w:w="85" w:type="dxa"/>
              <w:right w:w="85" w:type="dxa"/>
            </w:tcMar>
          </w:tcPr>
          <w:p w14:paraId="2C4659A2" w14:textId="77777777" w:rsidR="00911084" w:rsidRDefault="001C42BF">
            <w:pPr>
              <w:spacing w:after="58"/>
              <w:rPr>
                <w:bCs/>
              </w:rPr>
            </w:pPr>
            <w:r>
              <w:rPr>
                <w:bCs/>
                <w:i/>
              </w:rPr>
              <w:t>Executive summary:</w:t>
            </w:r>
          </w:p>
        </w:tc>
        <w:tc>
          <w:tcPr>
            <w:tcW w:w="6755" w:type="dxa"/>
            <w:tcMar>
              <w:top w:w="85" w:type="dxa"/>
              <w:left w:w="85" w:type="dxa"/>
              <w:bottom w:w="85" w:type="dxa"/>
              <w:right w:w="85" w:type="dxa"/>
            </w:tcMar>
          </w:tcPr>
          <w:p w14:paraId="4C9D229D" w14:textId="0AAB25A4" w:rsidR="008700F1" w:rsidRDefault="0099195D" w:rsidP="008700F1">
            <w:pPr>
              <w:tabs>
                <w:tab w:val="clear" w:pos="851"/>
              </w:tabs>
            </w:pPr>
            <w:bookmarkStart w:id="6" w:name="Execsum"/>
            <w:bookmarkEnd w:id="6"/>
            <w:r>
              <w:rPr>
                <w:bCs/>
              </w:rPr>
              <w:t xml:space="preserve">This document </w:t>
            </w:r>
            <w:r w:rsidR="00E451DB">
              <w:rPr>
                <w:bCs/>
              </w:rPr>
              <w:t>sets out the need for a Formal Safety Assessment</w:t>
            </w:r>
            <w:r w:rsidR="008700F1">
              <w:rPr>
                <w:bCs/>
              </w:rPr>
              <w:t xml:space="preserve"> (FSA) in accordance with IMO </w:t>
            </w:r>
            <w:proofErr w:type="gramStart"/>
            <w:r w:rsidR="008700F1">
              <w:rPr>
                <w:bCs/>
              </w:rPr>
              <w:t>Guidelines</w:t>
            </w:r>
            <w:r w:rsidR="00E451DB">
              <w:rPr>
                <w:bCs/>
              </w:rPr>
              <w:t>,</w:t>
            </w:r>
            <w:r w:rsidR="00084364">
              <w:rPr>
                <w:bCs/>
              </w:rPr>
              <w:t xml:space="preserve"> </w:t>
            </w:r>
            <w:r w:rsidR="008700F1">
              <w:rPr>
                <w:bCs/>
              </w:rPr>
              <w:t>and</w:t>
            </w:r>
            <w:proofErr w:type="gramEnd"/>
            <w:r w:rsidR="008700F1">
              <w:rPr>
                <w:bCs/>
              </w:rPr>
              <w:t xml:space="preserve"> </w:t>
            </w:r>
            <w:r w:rsidR="00E451DB">
              <w:rPr>
                <w:bCs/>
              </w:rPr>
              <w:t xml:space="preserve">recommends an approach to the regulatory review process </w:t>
            </w:r>
            <w:r w:rsidR="00AF7303">
              <w:rPr>
                <w:bCs/>
              </w:rPr>
              <w:t xml:space="preserve">with appropriate focus on risk prevention and goal-based standards. The document finally </w:t>
            </w:r>
            <w:r>
              <w:rPr>
                <w:bCs/>
              </w:rPr>
              <w:t xml:space="preserve">proposes </w:t>
            </w:r>
            <w:r w:rsidR="00AF7303">
              <w:rPr>
                <w:bCs/>
              </w:rPr>
              <w:t>the establishment</w:t>
            </w:r>
            <w:r w:rsidR="006E6A80">
              <w:rPr>
                <w:bCs/>
              </w:rPr>
              <w:t xml:space="preserve"> </w:t>
            </w:r>
            <w:r w:rsidR="00AF7303">
              <w:rPr>
                <w:bCs/>
              </w:rPr>
              <w:t>of</w:t>
            </w:r>
            <w:r w:rsidR="00E451DB">
              <w:rPr>
                <w:bCs/>
              </w:rPr>
              <w:t xml:space="preserve"> an FSA Group of Experts to </w:t>
            </w:r>
            <w:r w:rsidR="00AF7303">
              <w:rPr>
                <w:bCs/>
              </w:rPr>
              <w:t xml:space="preserve">review </w:t>
            </w:r>
            <w:r w:rsidR="007B59F4">
              <w:rPr>
                <w:bCs/>
              </w:rPr>
              <w:t xml:space="preserve">the outcomes </w:t>
            </w:r>
            <w:r w:rsidR="00203A71">
              <w:rPr>
                <w:bCs/>
              </w:rPr>
              <w:t xml:space="preserve">of </w:t>
            </w:r>
            <w:r w:rsidR="00AF7303">
              <w:rPr>
                <w:bCs/>
              </w:rPr>
              <w:t>a</w:t>
            </w:r>
            <w:r w:rsidR="007B59F4">
              <w:rPr>
                <w:bCs/>
              </w:rPr>
              <w:t xml:space="preserve"> </w:t>
            </w:r>
            <w:r w:rsidR="00AF7303">
              <w:rPr>
                <w:bCs/>
              </w:rPr>
              <w:t>study by the European Maritime Safety Agency (EMSA), as available, a</w:t>
            </w:r>
            <w:r w:rsidR="00EE51C3">
              <w:rPr>
                <w:bCs/>
              </w:rPr>
              <w:t xml:space="preserve">s well as </w:t>
            </w:r>
            <w:r w:rsidR="00AF7303">
              <w:rPr>
                <w:bCs/>
              </w:rPr>
              <w:t xml:space="preserve">any other feedback, submitted to the Group by interested Member States and </w:t>
            </w:r>
            <w:r w:rsidR="00FC5A18">
              <w:rPr>
                <w:bCs/>
              </w:rPr>
              <w:t>international</w:t>
            </w:r>
            <w:r w:rsidR="0076342B">
              <w:rPr>
                <w:bCs/>
              </w:rPr>
              <w:t xml:space="preserve"> </w:t>
            </w:r>
            <w:r w:rsidR="00AF7303">
              <w:rPr>
                <w:bCs/>
              </w:rPr>
              <w:t>organizations</w:t>
            </w:r>
            <w:r w:rsidR="008700F1">
              <w:rPr>
                <w:bCs/>
              </w:rPr>
              <w:t xml:space="preserve">, </w:t>
            </w:r>
            <w:r w:rsidR="008700F1">
              <w:t>with a view for the Sub-Committee to develop, as appropriate, amendments to SOLAS chapter II-2 and the FSS Code concerning detection and control of fires in cargo holds and on the cargo deck of containership</w:t>
            </w:r>
            <w:r w:rsidR="00144E9F">
              <w:t>s</w:t>
            </w:r>
            <w:r w:rsidR="008700F1">
              <w:t>.</w:t>
            </w:r>
          </w:p>
          <w:p w14:paraId="21E96D27" w14:textId="2AEBF64A" w:rsidR="00911084" w:rsidRDefault="00911084">
            <w:pPr>
              <w:tabs>
                <w:tab w:val="clear" w:pos="851"/>
              </w:tabs>
              <w:spacing w:after="58"/>
              <w:rPr>
                <w:bCs/>
              </w:rPr>
            </w:pPr>
          </w:p>
        </w:tc>
      </w:tr>
      <w:tr w:rsidR="00911084" w14:paraId="7147B349" w14:textId="77777777">
        <w:trPr>
          <w:jc w:val="center"/>
        </w:trPr>
        <w:tc>
          <w:tcPr>
            <w:tcW w:w="2245" w:type="dxa"/>
            <w:tcMar>
              <w:top w:w="85" w:type="dxa"/>
              <w:left w:w="85" w:type="dxa"/>
              <w:bottom w:w="85" w:type="dxa"/>
              <w:right w:w="85" w:type="dxa"/>
            </w:tcMar>
          </w:tcPr>
          <w:p w14:paraId="7AB97A4F" w14:textId="77777777" w:rsidR="00911084" w:rsidRDefault="001C42BF">
            <w:pPr>
              <w:spacing w:after="58"/>
              <w:rPr>
                <w:bCs/>
              </w:rPr>
            </w:pPr>
            <w:r>
              <w:rPr>
                <w:bCs/>
                <w:i/>
              </w:rPr>
              <w:t xml:space="preserve">Strategic </w:t>
            </w:r>
            <w:r w:rsidR="00F41638">
              <w:rPr>
                <w:bCs/>
                <w:i/>
              </w:rPr>
              <w:t>d</w:t>
            </w:r>
            <w:r>
              <w:rPr>
                <w:bCs/>
                <w:i/>
              </w:rPr>
              <w:t>irection, if applicable:</w:t>
            </w:r>
          </w:p>
        </w:tc>
        <w:tc>
          <w:tcPr>
            <w:tcW w:w="6755" w:type="dxa"/>
            <w:tcMar>
              <w:top w:w="85" w:type="dxa"/>
              <w:left w:w="85" w:type="dxa"/>
              <w:bottom w:w="85" w:type="dxa"/>
              <w:right w:w="85" w:type="dxa"/>
            </w:tcMar>
          </w:tcPr>
          <w:p w14:paraId="389618F1" w14:textId="11952DE2" w:rsidR="00911084" w:rsidRPr="00243D28" w:rsidRDefault="00243D28">
            <w:pPr>
              <w:tabs>
                <w:tab w:val="clear" w:pos="851"/>
              </w:tabs>
              <w:spacing w:after="58"/>
              <w:rPr>
                <w:bCs/>
              </w:rPr>
            </w:pPr>
            <w:bookmarkStart w:id="7" w:name="StraDir"/>
            <w:bookmarkEnd w:id="7"/>
            <w:r w:rsidRPr="00243D28">
              <w:rPr>
                <w:bCs/>
              </w:rPr>
              <w:t>6, 7</w:t>
            </w:r>
          </w:p>
        </w:tc>
      </w:tr>
      <w:tr w:rsidR="00911084" w14:paraId="788BD2D6" w14:textId="77777777">
        <w:trPr>
          <w:jc w:val="center"/>
        </w:trPr>
        <w:tc>
          <w:tcPr>
            <w:tcW w:w="2245" w:type="dxa"/>
            <w:tcMar>
              <w:top w:w="85" w:type="dxa"/>
              <w:left w:w="85" w:type="dxa"/>
              <w:bottom w:w="85" w:type="dxa"/>
              <w:right w:w="85" w:type="dxa"/>
            </w:tcMar>
          </w:tcPr>
          <w:p w14:paraId="66B5DA46" w14:textId="77777777" w:rsidR="00911084" w:rsidRDefault="001C42BF">
            <w:pPr>
              <w:spacing w:after="58"/>
              <w:rPr>
                <w:bCs/>
              </w:rPr>
            </w:pPr>
            <w:r>
              <w:rPr>
                <w:bCs/>
                <w:i/>
              </w:rPr>
              <w:t>Output:</w:t>
            </w:r>
          </w:p>
        </w:tc>
        <w:tc>
          <w:tcPr>
            <w:tcW w:w="6755" w:type="dxa"/>
            <w:tcMar>
              <w:top w:w="85" w:type="dxa"/>
              <w:left w:w="85" w:type="dxa"/>
              <w:bottom w:w="85" w:type="dxa"/>
              <w:right w:w="85" w:type="dxa"/>
            </w:tcMar>
          </w:tcPr>
          <w:p w14:paraId="698398DA" w14:textId="33AFF97C" w:rsidR="00911084" w:rsidRDefault="00F304B0">
            <w:pPr>
              <w:tabs>
                <w:tab w:val="clear" w:pos="851"/>
              </w:tabs>
              <w:spacing w:after="58"/>
              <w:rPr>
                <w:bCs/>
              </w:rPr>
            </w:pPr>
            <w:bookmarkStart w:id="8" w:name="PlanOut"/>
            <w:bookmarkEnd w:id="8"/>
            <w:r>
              <w:rPr>
                <w:bCs/>
              </w:rPr>
              <w:t>Not applicable</w:t>
            </w:r>
          </w:p>
        </w:tc>
      </w:tr>
      <w:tr w:rsidR="00911084" w14:paraId="56C3FFA7" w14:textId="77777777">
        <w:trPr>
          <w:jc w:val="center"/>
        </w:trPr>
        <w:tc>
          <w:tcPr>
            <w:tcW w:w="2245" w:type="dxa"/>
            <w:tcMar>
              <w:top w:w="85" w:type="dxa"/>
              <w:left w:w="85" w:type="dxa"/>
              <w:bottom w:w="85" w:type="dxa"/>
              <w:right w:w="85" w:type="dxa"/>
            </w:tcMar>
          </w:tcPr>
          <w:p w14:paraId="27244E4F" w14:textId="77777777" w:rsidR="00911084" w:rsidRDefault="001C42BF">
            <w:pPr>
              <w:spacing w:after="58"/>
              <w:rPr>
                <w:bCs/>
              </w:rPr>
            </w:pPr>
            <w:r>
              <w:rPr>
                <w:bCs/>
                <w:i/>
              </w:rPr>
              <w:t>Action to be taken:</w:t>
            </w:r>
          </w:p>
        </w:tc>
        <w:tc>
          <w:tcPr>
            <w:tcW w:w="6755" w:type="dxa"/>
            <w:tcMar>
              <w:top w:w="85" w:type="dxa"/>
              <w:left w:w="85" w:type="dxa"/>
              <w:bottom w:w="85" w:type="dxa"/>
              <w:right w:w="85" w:type="dxa"/>
            </w:tcMar>
          </w:tcPr>
          <w:p w14:paraId="36DCFC33" w14:textId="3DE4B9AE" w:rsidR="00911084" w:rsidRDefault="0099195D">
            <w:pPr>
              <w:tabs>
                <w:tab w:val="clear" w:pos="851"/>
              </w:tabs>
              <w:spacing w:after="58"/>
              <w:rPr>
                <w:bCs/>
              </w:rPr>
            </w:pPr>
            <w:bookmarkStart w:id="9" w:name="Action"/>
            <w:bookmarkEnd w:id="9"/>
            <w:r>
              <w:rPr>
                <w:bCs/>
              </w:rPr>
              <w:t xml:space="preserve">Paragraph </w:t>
            </w:r>
            <w:r w:rsidRPr="00D80AC3">
              <w:rPr>
                <w:bCs/>
              </w:rPr>
              <w:t>1</w:t>
            </w:r>
            <w:r w:rsidR="00780995">
              <w:rPr>
                <w:bCs/>
              </w:rPr>
              <w:t>4</w:t>
            </w:r>
          </w:p>
        </w:tc>
      </w:tr>
      <w:tr w:rsidR="00911084" w14:paraId="4BF41271" w14:textId="77777777">
        <w:trPr>
          <w:jc w:val="center"/>
        </w:trPr>
        <w:tc>
          <w:tcPr>
            <w:tcW w:w="2245" w:type="dxa"/>
            <w:tcMar>
              <w:top w:w="85" w:type="dxa"/>
              <w:left w:w="85" w:type="dxa"/>
              <w:bottom w:w="85" w:type="dxa"/>
              <w:right w:w="85" w:type="dxa"/>
            </w:tcMar>
          </w:tcPr>
          <w:p w14:paraId="38337C51" w14:textId="77777777" w:rsidR="00911084" w:rsidRDefault="001C42BF">
            <w:pPr>
              <w:spacing w:after="58"/>
              <w:rPr>
                <w:bCs/>
              </w:rPr>
            </w:pPr>
            <w:r>
              <w:rPr>
                <w:bCs/>
                <w:i/>
              </w:rPr>
              <w:t>Related documents:</w:t>
            </w:r>
          </w:p>
        </w:tc>
        <w:tc>
          <w:tcPr>
            <w:tcW w:w="6755" w:type="dxa"/>
            <w:tcMar>
              <w:top w:w="85" w:type="dxa"/>
              <w:left w:w="85" w:type="dxa"/>
              <w:bottom w:w="85" w:type="dxa"/>
              <w:right w:w="85" w:type="dxa"/>
            </w:tcMar>
          </w:tcPr>
          <w:p w14:paraId="2A34F051" w14:textId="3D9C8DB4" w:rsidR="00911084" w:rsidRDefault="00243D28">
            <w:pPr>
              <w:tabs>
                <w:tab w:val="clear" w:pos="851"/>
              </w:tabs>
              <w:spacing w:after="58"/>
              <w:rPr>
                <w:bCs/>
              </w:rPr>
            </w:pPr>
            <w:bookmarkStart w:id="10" w:name="Reldoc"/>
            <w:bookmarkEnd w:id="10"/>
            <w:r>
              <w:rPr>
                <w:bCs/>
              </w:rPr>
              <w:t>SSE 8/</w:t>
            </w:r>
            <w:r w:rsidRPr="00F304B0">
              <w:rPr>
                <w:bCs/>
              </w:rPr>
              <w:t>10</w:t>
            </w:r>
          </w:p>
        </w:tc>
      </w:tr>
    </w:tbl>
    <w:p w14:paraId="6D7449AC" w14:textId="77777777" w:rsidR="00911084" w:rsidRDefault="00911084">
      <w:pPr>
        <w:tabs>
          <w:tab w:val="clear" w:pos="851"/>
        </w:tabs>
      </w:pPr>
    </w:p>
    <w:p w14:paraId="7BC661FE" w14:textId="77777777" w:rsidR="008B3776" w:rsidRDefault="008B3776">
      <w:pPr>
        <w:tabs>
          <w:tab w:val="clear" w:pos="851"/>
        </w:tabs>
      </w:pPr>
    </w:p>
    <w:p w14:paraId="64E44F55" w14:textId="77777777" w:rsidR="00E85207" w:rsidRDefault="00E85207" w:rsidP="00E85207">
      <w:pPr>
        <w:tabs>
          <w:tab w:val="clear" w:pos="851"/>
        </w:tabs>
      </w:pPr>
      <w:r>
        <w:t>1</w:t>
      </w:r>
      <w:r>
        <w:tab/>
        <w:t>This document is submitted in accordance with paragraph 6.12.4 of the Organization</w:t>
      </w:r>
    </w:p>
    <w:p w14:paraId="25C45350" w14:textId="77777777" w:rsidR="00E85207" w:rsidRDefault="00E85207" w:rsidP="00E85207">
      <w:pPr>
        <w:tabs>
          <w:tab w:val="clear" w:pos="851"/>
        </w:tabs>
      </w:pPr>
      <w:r>
        <w:t>and method of work of the Maritime Safety Committee and the Marine Environment Protection</w:t>
      </w:r>
    </w:p>
    <w:p w14:paraId="77BCD8F5" w14:textId="77777777" w:rsidR="00E85207" w:rsidRDefault="00E85207" w:rsidP="00E85207">
      <w:pPr>
        <w:tabs>
          <w:tab w:val="clear" w:pos="851"/>
        </w:tabs>
      </w:pPr>
      <w:r>
        <w:t>Committee and their subsidiary bodies (MSC-MEPC.1/Circ.5/Rev.1) and comments on</w:t>
      </w:r>
    </w:p>
    <w:p w14:paraId="5396E36E" w14:textId="5D85AA5D" w:rsidR="00911084" w:rsidRPr="00AF238F" w:rsidRDefault="00E85207" w:rsidP="00E85207">
      <w:pPr>
        <w:tabs>
          <w:tab w:val="clear" w:pos="851"/>
        </w:tabs>
      </w:pPr>
      <w:r>
        <w:t>document SSE 8</w:t>
      </w:r>
      <w:r w:rsidRPr="00F304B0">
        <w:t>/10</w:t>
      </w:r>
      <w:r w:rsidR="00D80AC3" w:rsidRPr="00AF238F">
        <w:t>.</w:t>
      </w:r>
    </w:p>
    <w:p w14:paraId="0BAADB57" w14:textId="34AD4F02" w:rsidR="00E85207" w:rsidRDefault="00E85207" w:rsidP="00E85207">
      <w:pPr>
        <w:tabs>
          <w:tab w:val="clear" w:pos="851"/>
        </w:tabs>
      </w:pPr>
    </w:p>
    <w:p w14:paraId="77BCBCA1" w14:textId="64F0003F" w:rsidR="00E85207" w:rsidRDefault="00E85207" w:rsidP="00E85207">
      <w:pPr>
        <w:tabs>
          <w:tab w:val="clear" w:pos="851"/>
        </w:tabs>
        <w:rPr>
          <w:color w:val="FF0000"/>
        </w:rPr>
      </w:pPr>
      <w:r>
        <w:lastRenderedPageBreak/>
        <w:t>2</w:t>
      </w:r>
      <w:r>
        <w:tab/>
      </w:r>
      <w:r w:rsidR="00900202" w:rsidRPr="00900202">
        <w:t xml:space="preserve">The co-sponsors note with appreciation document SSE 8/10.  </w:t>
      </w:r>
      <w:proofErr w:type="gramStart"/>
      <w:r w:rsidR="00900202" w:rsidRPr="00900202">
        <w:t>In particular and</w:t>
      </w:r>
      <w:proofErr w:type="gramEnd"/>
      <w:r w:rsidR="00900202" w:rsidRPr="00900202">
        <w:t xml:space="preserve"> with reference to the proposal for a roadmap in paragraph 3 of that document, the co-sponsors, while acknowledging the value of its direction, would like to elaborate in support of its need to perform the risk assessment and develop regulations based on the IMO recognized approach of the formal safety assessment (FSA) so as to be able to capture and assess the totality of risks and risk control options.</w:t>
      </w:r>
    </w:p>
    <w:p w14:paraId="1D48564B" w14:textId="7B234C8A" w:rsidR="0005358B" w:rsidRDefault="0005358B" w:rsidP="00E85207">
      <w:pPr>
        <w:tabs>
          <w:tab w:val="clear" w:pos="851"/>
        </w:tabs>
        <w:rPr>
          <w:color w:val="FF0000"/>
        </w:rPr>
      </w:pPr>
    </w:p>
    <w:p w14:paraId="143C4D69" w14:textId="587B6988" w:rsidR="0005358B" w:rsidRPr="0005358B" w:rsidRDefault="0005358B" w:rsidP="00E85207">
      <w:pPr>
        <w:tabs>
          <w:tab w:val="clear" w:pos="851"/>
        </w:tabs>
        <w:rPr>
          <w:b/>
          <w:bCs/>
        </w:rPr>
      </w:pPr>
      <w:r w:rsidRPr="0005358B">
        <w:rPr>
          <w:b/>
          <w:bCs/>
        </w:rPr>
        <w:t>New output</w:t>
      </w:r>
    </w:p>
    <w:p w14:paraId="6FC59FAD" w14:textId="0B8B9022" w:rsidR="00E85207" w:rsidRDefault="00E85207" w:rsidP="00E85207">
      <w:pPr>
        <w:tabs>
          <w:tab w:val="clear" w:pos="851"/>
        </w:tabs>
        <w:rPr>
          <w:color w:val="FF0000"/>
        </w:rPr>
      </w:pPr>
    </w:p>
    <w:p w14:paraId="3DA2BC12" w14:textId="20A76AE1" w:rsidR="00E85207" w:rsidRDefault="00E85207" w:rsidP="00E85207">
      <w:pPr>
        <w:tabs>
          <w:tab w:val="clear" w:pos="851"/>
        </w:tabs>
      </w:pPr>
      <w:r w:rsidRPr="00E85207">
        <w:t>3</w:t>
      </w:r>
      <w:r>
        <w:rPr>
          <w:color w:val="FF0000"/>
        </w:rPr>
        <w:tab/>
      </w:r>
      <w:r>
        <w:t>Following discussion, and having noted, in particular, the need for a holistic risk-based approach and prioritization of risk prevention and mitigation enhancement when developing amendments, the Maritime Safety Committee, in its 103</w:t>
      </w:r>
      <w:r w:rsidRPr="00E85207">
        <w:rPr>
          <w:vertAlign w:val="superscript"/>
        </w:rPr>
        <w:t>rd</w:t>
      </w:r>
      <w:r>
        <w:t xml:space="preserve"> session, agreed to include in the biennial agenda of the SSE Sub-Committee for 2022-2023 and the provisional agenda for SSE 8 an output on "Development of amendments to SOLAS chapter II-2 and the FSS Code concerning detection and control of fires in cargo holds and on the cargo deck of containerships", with a target completion year of 2025, in association with the CCC Sub-Committee as and when requested by the SSE Sub-Committee. The Committee also agreed that:</w:t>
      </w:r>
    </w:p>
    <w:p w14:paraId="51BC0E69" w14:textId="77777777" w:rsidR="00E85207" w:rsidRDefault="00E85207" w:rsidP="00E85207">
      <w:pPr>
        <w:tabs>
          <w:tab w:val="clear" w:pos="851"/>
        </w:tabs>
      </w:pPr>
    </w:p>
    <w:p w14:paraId="5A09E5A4" w14:textId="53473B05" w:rsidR="00E85207" w:rsidRDefault="00E85207" w:rsidP="000D2EF1">
      <w:pPr>
        <w:tabs>
          <w:tab w:val="clear" w:pos="851"/>
        </w:tabs>
        <w:spacing w:after="120"/>
        <w:ind w:firstLine="851"/>
      </w:pPr>
      <w:r>
        <w:t xml:space="preserve">.1 </w:t>
      </w:r>
      <w:r>
        <w:tab/>
        <w:t xml:space="preserve">the amendments to be developed should apply to new </w:t>
      </w:r>
      <w:proofErr w:type="gramStart"/>
      <w:r>
        <w:t>ships;</w:t>
      </w:r>
      <w:proofErr w:type="gramEnd"/>
      <w:r>
        <w:t xml:space="preserve"> </w:t>
      </w:r>
    </w:p>
    <w:p w14:paraId="418C10F6" w14:textId="2A716C6B" w:rsidR="00E85207" w:rsidRDefault="00E85207" w:rsidP="000D2EF1">
      <w:pPr>
        <w:tabs>
          <w:tab w:val="clear" w:pos="851"/>
        </w:tabs>
        <w:spacing w:after="120"/>
        <w:ind w:left="1702" w:hanging="851"/>
      </w:pPr>
      <w:r>
        <w:t xml:space="preserve">.2 </w:t>
      </w:r>
      <w:r>
        <w:tab/>
        <w:t xml:space="preserve">the output was to amend regulations in SOLAS chapter II-2 and the FSS Code to enhance provisions for early fire detection and effective control of fires in containerized cargoes stowed on and under deck of containerships; and </w:t>
      </w:r>
    </w:p>
    <w:p w14:paraId="04252B91" w14:textId="258BD7A5" w:rsidR="00E85207" w:rsidRDefault="00E85207" w:rsidP="00E85207">
      <w:pPr>
        <w:tabs>
          <w:tab w:val="clear" w:pos="851"/>
        </w:tabs>
        <w:ind w:left="1702" w:hanging="851"/>
      </w:pPr>
      <w:r>
        <w:t xml:space="preserve">.3 </w:t>
      </w:r>
      <w:r>
        <w:tab/>
        <w:t xml:space="preserve">the amendments to be developed should enter into force on 1 January 2028, </w:t>
      </w:r>
      <w:proofErr w:type="gramStart"/>
      <w:r>
        <w:t>provided</w:t>
      </w:r>
      <w:r w:rsidR="00742103">
        <w:t xml:space="preserve"> </w:t>
      </w:r>
      <w:r>
        <w:t>that</w:t>
      </w:r>
      <w:proofErr w:type="gramEnd"/>
      <w:r>
        <w:t xml:space="preserve"> they were adopted before 1 July 2026 (MSC 103/21, paragraphs 18.8 – 18.9)</w:t>
      </w:r>
      <w:r w:rsidR="00243D28">
        <w:t>.</w:t>
      </w:r>
    </w:p>
    <w:p w14:paraId="4E3A2AE5" w14:textId="288C7294" w:rsidR="0005358B" w:rsidRDefault="0005358B" w:rsidP="0005358B">
      <w:pPr>
        <w:tabs>
          <w:tab w:val="clear" w:pos="851"/>
        </w:tabs>
      </w:pPr>
    </w:p>
    <w:p w14:paraId="58D543BF" w14:textId="77777777" w:rsidR="00A761FA" w:rsidRDefault="00A761FA" w:rsidP="0005358B">
      <w:pPr>
        <w:tabs>
          <w:tab w:val="clear" w:pos="851"/>
        </w:tabs>
        <w:rPr>
          <w:b/>
          <w:bCs/>
        </w:rPr>
      </w:pPr>
    </w:p>
    <w:p w14:paraId="533E0DA0" w14:textId="72238A86" w:rsidR="00A761FA" w:rsidRDefault="000E40D7" w:rsidP="0005358B">
      <w:pPr>
        <w:tabs>
          <w:tab w:val="clear" w:pos="851"/>
        </w:tabs>
        <w:rPr>
          <w:b/>
          <w:bCs/>
        </w:rPr>
      </w:pPr>
      <w:r>
        <w:rPr>
          <w:b/>
          <w:bCs/>
        </w:rPr>
        <w:t xml:space="preserve">Need </w:t>
      </w:r>
      <w:r w:rsidR="00A85698">
        <w:rPr>
          <w:b/>
          <w:bCs/>
        </w:rPr>
        <w:t>for a F</w:t>
      </w:r>
      <w:r w:rsidR="00A761FA">
        <w:rPr>
          <w:b/>
          <w:bCs/>
        </w:rPr>
        <w:t>ormal Safety Assessment</w:t>
      </w:r>
    </w:p>
    <w:p w14:paraId="2CFC76F5" w14:textId="6C6C622D" w:rsidR="00A761FA" w:rsidRDefault="00A761FA" w:rsidP="0005358B">
      <w:pPr>
        <w:tabs>
          <w:tab w:val="clear" w:pos="851"/>
        </w:tabs>
        <w:rPr>
          <w:b/>
          <w:bCs/>
        </w:rPr>
      </w:pPr>
    </w:p>
    <w:p w14:paraId="14FF5C00" w14:textId="14AE74BF" w:rsidR="00A761FA" w:rsidRDefault="00A761FA" w:rsidP="00A761FA">
      <w:pPr>
        <w:tabs>
          <w:tab w:val="clear" w:pos="851"/>
        </w:tabs>
      </w:pPr>
      <w:r>
        <w:t>4</w:t>
      </w:r>
      <w:r>
        <w:tab/>
      </w:r>
      <w:r w:rsidR="00E47018">
        <w:t xml:space="preserve">The co-sponsors support that fire detection and protection measures be reviewed as per the new output, </w:t>
      </w:r>
      <w:proofErr w:type="gramStart"/>
      <w:r w:rsidR="00E47018">
        <w:t>in order to</w:t>
      </w:r>
      <w:proofErr w:type="gramEnd"/>
      <w:r w:rsidR="00E47018">
        <w:t xml:space="preserve"> identify possible areas of enhancement of risk mitigation. However, b</w:t>
      </w:r>
      <w:r w:rsidR="005F52CC">
        <w:t xml:space="preserve">ased on a long list of cargo fire incidents </w:t>
      </w:r>
      <w:r w:rsidR="00E47018">
        <w:t xml:space="preserve">and lessons learnt </w:t>
      </w:r>
      <w:r w:rsidR="005F52CC">
        <w:t xml:space="preserve">on board containerships, it is recognised that </w:t>
      </w:r>
      <w:r>
        <w:t xml:space="preserve">the efficiency of fire detection and </w:t>
      </w:r>
      <w:r w:rsidR="0059706A">
        <w:t xml:space="preserve">control </w:t>
      </w:r>
      <w:r>
        <w:t xml:space="preserve">is dependent on </w:t>
      </w:r>
      <w:proofErr w:type="gramStart"/>
      <w:r w:rsidR="0059706A">
        <w:t>a number of</w:t>
      </w:r>
      <w:proofErr w:type="gramEnd"/>
      <w:r w:rsidR="0059706A">
        <w:t xml:space="preserve"> factors. These include but are not limited to </w:t>
      </w:r>
      <w:r>
        <w:t xml:space="preserve">the </w:t>
      </w:r>
      <w:r w:rsidR="005F52CC">
        <w:t xml:space="preserve">chemical </w:t>
      </w:r>
      <w:r>
        <w:t>nature</w:t>
      </w:r>
      <w:r w:rsidR="005F52CC">
        <w:t>, stowage location, accessibility, packaging of the cargo from which the fire originates, nature of, and knowledge of the nature of, surrounding cargo</w:t>
      </w:r>
      <w:r w:rsidR="0059706A">
        <w:t xml:space="preserve">, and – importantly – the accuracy of the information provided to the carrier used for its stowage and handling decisions. Such </w:t>
      </w:r>
      <w:r w:rsidR="005F52CC">
        <w:t xml:space="preserve">factors </w:t>
      </w:r>
      <w:r w:rsidR="00EB4294">
        <w:t xml:space="preserve">and variables </w:t>
      </w:r>
      <w:r w:rsidR="005F52CC">
        <w:t xml:space="preserve">need to be considered carefully in the </w:t>
      </w:r>
      <w:r w:rsidR="007E12B3">
        <w:t xml:space="preserve">review </w:t>
      </w:r>
      <w:r w:rsidR="005F52CC">
        <w:t xml:space="preserve">process. </w:t>
      </w:r>
    </w:p>
    <w:p w14:paraId="26BEA1FA" w14:textId="7A58C57D" w:rsidR="00AC469E" w:rsidRDefault="00AC469E" w:rsidP="00A761FA">
      <w:pPr>
        <w:tabs>
          <w:tab w:val="clear" w:pos="851"/>
        </w:tabs>
      </w:pPr>
    </w:p>
    <w:p w14:paraId="7258CCAC" w14:textId="06727552" w:rsidR="00AC469E" w:rsidRDefault="00AC469E" w:rsidP="00AC469E">
      <w:pPr>
        <w:tabs>
          <w:tab w:val="clear" w:pos="851"/>
        </w:tabs>
      </w:pPr>
      <w:r>
        <w:t>5</w:t>
      </w:r>
      <w:r>
        <w:tab/>
        <w:t xml:space="preserve">In view of the complex nature of the subject matter, applying the Organization’s </w:t>
      </w:r>
      <w:r w:rsidRPr="00AC469E">
        <w:rPr>
          <w:i/>
          <w:iCs/>
        </w:rPr>
        <w:t>Revised guidelines for formal safety assessment (FSA) for use in the IMO rule-making process</w:t>
      </w:r>
      <w:r>
        <w:rPr>
          <w:i/>
          <w:iCs/>
        </w:rPr>
        <w:t xml:space="preserve"> </w:t>
      </w:r>
      <w:r>
        <w:t>(</w:t>
      </w:r>
      <w:r w:rsidRPr="00AC469E">
        <w:t>MSC-MEPC.2/Circ.12/Rev.2</w:t>
      </w:r>
      <w:r>
        <w:t>) is considered necessary</w:t>
      </w:r>
      <w:r w:rsidR="00BC3BDA">
        <w:t>,</w:t>
      </w:r>
      <w:r w:rsidR="00757EF5">
        <w:t xml:space="preserve"> </w:t>
      </w:r>
      <w:proofErr w:type="gramStart"/>
      <w:r w:rsidR="00D80AC3">
        <w:t xml:space="preserve">so as </w:t>
      </w:r>
      <w:r w:rsidR="00757EF5">
        <w:t>to</w:t>
      </w:r>
      <w:proofErr w:type="gramEnd"/>
      <w:r w:rsidR="00757EF5">
        <w:t xml:space="preserve"> include </w:t>
      </w:r>
      <w:r>
        <w:t>the following steps (s. 3.1.1 thereof):</w:t>
      </w:r>
    </w:p>
    <w:p w14:paraId="620979C1" w14:textId="77777777" w:rsidR="00AC469E" w:rsidRDefault="00AC469E" w:rsidP="00AC469E">
      <w:pPr>
        <w:tabs>
          <w:tab w:val="clear" w:pos="851"/>
        </w:tabs>
      </w:pPr>
    </w:p>
    <w:p w14:paraId="53B0E5C2" w14:textId="4C704289" w:rsidR="00AC469E" w:rsidRDefault="00AC469E" w:rsidP="007B73B7">
      <w:pPr>
        <w:tabs>
          <w:tab w:val="clear" w:pos="851"/>
        </w:tabs>
        <w:spacing w:after="120"/>
        <w:ind w:firstLine="851"/>
      </w:pPr>
      <w:r>
        <w:t xml:space="preserve">.1 </w:t>
      </w:r>
      <w:r>
        <w:tab/>
        <w:t xml:space="preserve">identification of </w:t>
      </w:r>
      <w:proofErr w:type="gramStart"/>
      <w:r>
        <w:t>hazards;</w:t>
      </w:r>
      <w:proofErr w:type="gramEnd"/>
    </w:p>
    <w:p w14:paraId="446B264F" w14:textId="1CC0ADF8" w:rsidR="00AC469E" w:rsidRDefault="00AC469E" w:rsidP="007B73B7">
      <w:pPr>
        <w:tabs>
          <w:tab w:val="clear" w:pos="851"/>
        </w:tabs>
        <w:spacing w:after="120"/>
        <w:ind w:firstLine="851"/>
      </w:pPr>
      <w:r>
        <w:t xml:space="preserve">.2 </w:t>
      </w:r>
      <w:r>
        <w:tab/>
        <w:t xml:space="preserve">risk </w:t>
      </w:r>
      <w:proofErr w:type="gramStart"/>
      <w:r>
        <w:t>analysis;</w:t>
      </w:r>
      <w:proofErr w:type="gramEnd"/>
    </w:p>
    <w:p w14:paraId="5DA96E94" w14:textId="26DEB8D2" w:rsidR="00AC469E" w:rsidRDefault="00AC469E" w:rsidP="007B73B7">
      <w:pPr>
        <w:tabs>
          <w:tab w:val="clear" w:pos="851"/>
        </w:tabs>
        <w:spacing w:after="120"/>
        <w:ind w:firstLine="851"/>
      </w:pPr>
      <w:r>
        <w:t xml:space="preserve">.3 </w:t>
      </w:r>
      <w:r>
        <w:tab/>
        <w:t xml:space="preserve">risk control </w:t>
      </w:r>
      <w:proofErr w:type="gramStart"/>
      <w:r>
        <w:t>options;</w:t>
      </w:r>
      <w:proofErr w:type="gramEnd"/>
    </w:p>
    <w:p w14:paraId="4804015A" w14:textId="49650CD5" w:rsidR="00AC469E" w:rsidRDefault="00AC469E" w:rsidP="007B73B7">
      <w:pPr>
        <w:tabs>
          <w:tab w:val="clear" w:pos="851"/>
        </w:tabs>
        <w:spacing w:after="120"/>
        <w:ind w:firstLine="851"/>
      </w:pPr>
      <w:r>
        <w:t xml:space="preserve">.4 </w:t>
      </w:r>
      <w:r>
        <w:tab/>
        <w:t>cost-benefit assessment; and</w:t>
      </w:r>
    </w:p>
    <w:p w14:paraId="0D68F10E" w14:textId="30EA880A" w:rsidR="003F6737" w:rsidRPr="007B73B7" w:rsidRDefault="00AC469E" w:rsidP="007B73B7">
      <w:pPr>
        <w:tabs>
          <w:tab w:val="clear" w:pos="851"/>
        </w:tabs>
        <w:spacing w:after="120"/>
        <w:ind w:firstLine="851"/>
      </w:pPr>
      <w:r>
        <w:t xml:space="preserve">.5 </w:t>
      </w:r>
      <w:r>
        <w:tab/>
        <w:t>recommendations for decision-making.</w:t>
      </w:r>
    </w:p>
    <w:p w14:paraId="2F145402" w14:textId="797D5C19" w:rsidR="0005358B" w:rsidRPr="0005358B" w:rsidRDefault="00D80AC3" w:rsidP="0005358B">
      <w:pPr>
        <w:tabs>
          <w:tab w:val="clear" w:pos="851"/>
        </w:tabs>
        <w:rPr>
          <w:b/>
          <w:bCs/>
        </w:rPr>
      </w:pPr>
      <w:r>
        <w:rPr>
          <w:b/>
          <w:bCs/>
        </w:rPr>
        <w:lastRenderedPageBreak/>
        <w:t xml:space="preserve">Recommended approach </w:t>
      </w:r>
      <w:r w:rsidR="00780995">
        <w:rPr>
          <w:b/>
          <w:bCs/>
        </w:rPr>
        <w:t>to the regulatory review process</w:t>
      </w:r>
    </w:p>
    <w:p w14:paraId="575ACB2C" w14:textId="513139F7" w:rsidR="00E85207" w:rsidRDefault="00E85207" w:rsidP="00E85207">
      <w:pPr>
        <w:tabs>
          <w:tab w:val="clear" w:pos="851"/>
        </w:tabs>
      </w:pPr>
    </w:p>
    <w:p w14:paraId="0DD5BB6E" w14:textId="40328198" w:rsidR="00FF59B2" w:rsidRDefault="007B73B7" w:rsidP="00E85207">
      <w:pPr>
        <w:tabs>
          <w:tab w:val="clear" w:pos="851"/>
        </w:tabs>
      </w:pPr>
      <w:r>
        <w:t>6</w:t>
      </w:r>
      <w:r w:rsidR="00E85207">
        <w:tab/>
      </w:r>
      <w:r w:rsidR="00030E27">
        <w:t>At the same time, it</w:t>
      </w:r>
      <w:r w:rsidR="009F4D26">
        <w:t xml:space="preserve"> is crucial that </w:t>
      </w:r>
      <w:r w:rsidR="00030E27">
        <w:t>a regulatory</w:t>
      </w:r>
      <w:r w:rsidR="009F4D26">
        <w:t xml:space="preserve"> review be </w:t>
      </w:r>
      <w:r w:rsidR="009F4662">
        <w:t xml:space="preserve">done in conjunction with </w:t>
      </w:r>
      <w:r w:rsidR="00D239B1">
        <w:t xml:space="preserve">an assessment of </w:t>
      </w:r>
      <w:r w:rsidR="009F4D26">
        <w:t xml:space="preserve">risk </w:t>
      </w:r>
      <w:r w:rsidR="00544878">
        <w:t>prevention</w:t>
      </w:r>
      <w:r w:rsidR="00D239B1">
        <w:t xml:space="preserve"> and mitigation</w:t>
      </w:r>
      <w:r w:rsidR="009F4D26">
        <w:t xml:space="preserve"> </w:t>
      </w:r>
      <w:proofErr w:type="gramStart"/>
      <w:r w:rsidR="009F4D26">
        <w:t>in order to</w:t>
      </w:r>
      <w:proofErr w:type="gramEnd"/>
      <w:r w:rsidR="009F4D26">
        <w:t xml:space="preserve"> </w:t>
      </w:r>
      <w:r w:rsidR="009F4662">
        <w:t xml:space="preserve">reduce the </w:t>
      </w:r>
      <w:r w:rsidR="009F4D26">
        <w:t>magnitude</w:t>
      </w:r>
      <w:r w:rsidR="00D80AC3">
        <w:t xml:space="preserve"> </w:t>
      </w:r>
      <w:r w:rsidR="009F4D26">
        <w:t xml:space="preserve">and frequency of </w:t>
      </w:r>
      <w:r w:rsidR="009F4662">
        <w:t xml:space="preserve">containership </w:t>
      </w:r>
      <w:r w:rsidR="009F4D26">
        <w:t>fires/explosions.</w:t>
      </w:r>
      <w:r w:rsidR="009F4D26" w:rsidRPr="009F4D26">
        <w:t xml:space="preserve"> </w:t>
      </w:r>
      <w:r w:rsidR="00FF59B2">
        <w:t xml:space="preserve">Without tackling this, it is almost certain that any regulation adopted today, which is based solely on </w:t>
      </w:r>
      <w:r w:rsidR="00D239B1">
        <w:t xml:space="preserve">post incident </w:t>
      </w:r>
      <w:r w:rsidR="00FF59B2">
        <w:t xml:space="preserve">risk </w:t>
      </w:r>
      <w:r w:rsidR="00D239B1">
        <w:t>factors</w:t>
      </w:r>
      <w:r w:rsidR="00FF59B2">
        <w:t xml:space="preserve"> without </w:t>
      </w:r>
      <w:r w:rsidR="00D239B1">
        <w:t xml:space="preserve">taking </w:t>
      </w:r>
      <w:proofErr w:type="gramStart"/>
      <w:r w:rsidR="00F37B9A">
        <w:t xml:space="preserve">sufficient </w:t>
      </w:r>
      <w:r w:rsidR="00D239B1">
        <w:t xml:space="preserve"> notice</w:t>
      </w:r>
      <w:proofErr w:type="gramEnd"/>
      <w:r w:rsidR="00D239B1">
        <w:t xml:space="preserve"> of risk </w:t>
      </w:r>
      <w:r w:rsidR="00FF59B2">
        <w:t>prevention</w:t>
      </w:r>
      <w:r w:rsidR="00D239B1">
        <w:t xml:space="preserve"> and mitigation</w:t>
      </w:r>
      <w:r w:rsidR="00FF59B2">
        <w:t>, will be out of date in a few years.</w:t>
      </w:r>
    </w:p>
    <w:p w14:paraId="74B355D3" w14:textId="77777777" w:rsidR="00FF59B2" w:rsidRDefault="00FF59B2" w:rsidP="00E85207">
      <w:pPr>
        <w:tabs>
          <w:tab w:val="clear" w:pos="851"/>
        </w:tabs>
      </w:pPr>
    </w:p>
    <w:p w14:paraId="71CEACCE" w14:textId="25EB0B2F" w:rsidR="0005358B" w:rsidRDefault="007B73B7" w:rsidP="0005358B">
      <w:pPr>
        <w:tabs>
          <w:tab w:val="clear" w:pos="851"/>
        </w:tabs>
      </w:pPr>
      <w:r>
        <w:t>7</w:t>
      </w:r>
      <w:r w:rsidR="0005358B">
        <w:tab/>
      </w:r>
      <w:r w:rsidR="009F4D26">
        <w:t>Th</w:t>
      </w:r>
      <w:r w:rsidR="00FF59B2">
        <w:t xml:space="preserve">e above </w:t>
      </w:r>
      <w:r w:rsidR="00731F3B">
        <w:t>approach</w:t>
      </w:r>
      <w:r w:rsidR="00FF59B2">
        <w:t xml:space="preserve"> </w:t>
      </w:r>
      <w:r w:rsidR="00731F3B">
        <w:t xml:space="preserve">is integral to </w:t>
      </w:r>
      <w:r w:rsidR="000D2EF1">
        <w:t xml:space="preserve">fulfilling the goal of </w:t>
      </w:r>
      <w:r w:rsidR="00731F3B">
        <w:t>a</w:t>
      </w:r>
      <w:r w:rsidR="00FF59B2">
        <w:t xml:space="preserve"> socially </w:t>
      </w:r>
      <w:r w:rsidR="00D239B1">
        <w:t xml:space="preserve">responsible </w:t>
      </w:r>
      <w:r w:rsidR="00FF59B2">
        <w:t xml:space="preserve">and environmentally sustainable </w:t>
      </w:r>
      <w:r w:rsidR="00F825B0">
        <w:t>transport sector</w:t>
      </w:r>
      <w:r w:rsidR="00FF59B2">
        <w:t>,</w:t>
      </w:r>
      <w:r w:rsidR="0005358B">
        <w:t xml:space="preserve"> </w:t>
      </w:r>
      <w:r w:rsidR="000D2EF1">
        <w:t xml:space="preserve">to which both the Organization and the co-sponsors subscribe, </w:t>
      </w:r>
      <w:r w:rsidR="0005358B">
        <w:t>for two reasons:</w:t>
      </w:r>
    </w:p>
    <w:p w14:paraId="3D572EA0" w14:textId="77777777" w:rsidR="0005358B" w:rsidRDefault="0005358B" w:rsidP="0005358B">
      <w:pPr>
        <w:tabs>
          <w:tab w:val="clear" w:pos="851"/>
        </w:tabs>
      </w:pPr>
    </w:p>
    <w:p w14:paraId="6889908B" w14:textId="5436F02B" w:rsidR="00E85207" w:rsidRDefault="00D239B1" w:rsidP="0005358B">
      <w:pPr>
        <w:pStyle w:val="ListParagraph"/>
        <w:numPr>
          <w:ilvl w:val="0"/>
          <w:numId w:val="8"/>
        </w:numPr>
        <w:tabs>
          <w:tab w:val="clear" w:pos="851"/>
        </w:tabs>
        <w:spacing w:after="120"/>
        <w:ind w:left="1208" w:hanging="357"/>
        <w:contextualSpacing w:val="0"/>
      </w:pPr>
      <w:r>
        <w:t>Mitigating the risk of</w:t>
      </w:r>
      <w:r w:rsidR="00FF59B2">
        <w:t xml:space="preserve"> fires/explosions in the first place is more likely to </w:t>
      </w:r>
      <w:r w:rsidR="00731F3B">
        <w:t xml:space="preserve">reduce </w:t>
      </w:r>
      <w:r w:rsidR="00264BBA">
        <w:t>seafarer</w:t>
      </w:r>
      <w:r w:rsidR="00731F3B">
        <w:t xml:space="preserve"> injuries and fatalities</w:t>
      </w:r>
      <w:r w:rsidR="00264BBA">
        <w:t xml:space="preserve"> a</w:t>
      </w:r>
      <w:r w:rsidR="00731F3B">
        <w:t>s well as protect</w:t>
      </w:r>
      <w:r w:rsidR="00264BBA">
        <w:t xml:space="preserve"> the marine environment</w:t>
      </w:r>
      <w:r w:rsidR="00731F3B">
        <w:t xml:space="preserve"> from dangerous chemicals</w:t>
      </w:r>
      <w:r>
        <w:t xml:space="preserve"> and </w:t>
      </w:r>
      <w:r w:rsidR="00731F3B">
        <w:t xml:space="preserve">other </w:t>
      </w:r>
      <w:r>
        <w:t xml:space="preserve">hazardous </w:t>
      </w:r>
      <w:r w:rsidR="00731F3B">
        <w:t xml:space="preserve">cargo </w:t>
      </w:r>
      <w:r>
        <w:t>and material carried or used on ships</w:t>
      </w:r>
      <w:r w:rsidR="0005358B">
        <w:t>; and</w:t>
      </w:r>
    </w:p>
    <w:p w14:paraId="3DFA71F6" w14:textId="41CF150D" w:rsidR="0005358B" w:rsidRDefault="0005358B" w:rsidP="0005358B">
      <w:pPr>
        <w:pStyle w:val="ListParagraph"/>
        <w:numPr>
          <w:ilvl w:val="0"/>
          <w:numId w:val="8"/>
        </w:numPr>
        <w:tabs>
          <w:tab w:val="clear" w:pos="851"/>
        </w:tabs>
      </w:pPr>
      <w:r>
        <w:t xml:space="preserve">a reduced risk factor is more manageable </w:t>
      </w:r>
      <w:proofErr w:type="gramStart"/>
      <w:r>
        <w:t>on board</w:t>
      </w:r>
      <w:proofErr w:type="gramEnd"/>
      <w:r>
        <w:t xml:space="preserve"> ships, </w:t>
      </w:r>
      <w:r w:rsidR="000D2EF1">
        <w:t>due to</w:t>
      </w:r>
      <w:r>
        <w:t xml:space="preserve"> increasing the efficiency of fire extinguishing arrangements a</w:t>
      </w:r>
      <w:r w:rsidR="000D2EF1">
        <w:t>nd</w:t>
      </w:r>
      <w:r>
        <w:t xml:space="preserve"> </w:t>
      </w:r>
      <w:r w:rsidR="000D2EF1">
        <w:t>entailing</w:t>
      </w:r>
      <w:r>
        <w:t xml:space="preserve"> less exposure of crew to conditions that normally require assistance from specialised fire-fighting services.</w:t>
      </w:r>
    </w:p>
    <w:p w14:paraId="572392B3" w14:textId="53C27ED5" w:rsidR="0005358B" w:rsidRDefault="0005358B" w:rsidP="0005358B">
      <w:pPr>
        <w:tabs>
          <w:tab w:val="clear" w:pos="851"/>
        </w:tabs>
      </w:pPr>
    </w:p>
    <w:p w14:paraId="678881DA" w14:textId="71E44CE8" w:rsidR="0005358B" w:rsidRDefault="007B73B7" w:rsidP="0005358B">
      <w:pPr>
        <w:tabs>
          <w:tab w:val="clear" w:pos="851"/>
        </w:tabs>
      </w:pPr>
      <w:r>
        <w:t>8</w:t>
      </w:r>
      <w:r w:rsidR="0005358B">
        <w:tab/>
      </w:r>
      <w:r w:rsidR="00A85698">
        <w:t xml:space="preserve">According to the </w:t>
      </w:r>
      <w:r w:rsidR="00A85698" w:rsidRPr="00AC469E">
        <w:rPr>
          <w:i/>
          <w:iCs/>
        </w:rPr>
        <w:t>Revised guidelines for formal safety assessment (FSA) for use in the IMO rule-making process</w:t>
      </w:r>
      <w:r w:rsidR="00A85698">
        <w:rPr>
          <w:i/>
          <w:iCs/>
        </w:rPr>
        <w:t xml:space="preserve"> </w:t>
      </w:r>
      <w:r w:rsidR="00A85698">
        <w:t>(</w:t>
      </w:r>
      <w:r w:rsidR="00A85698" w:rsidRPr="00AC469E">
        <w:t>MSC-MEPC.2/Circ.12/Rev.2</w:t>
      </w:r>
      <w:r w:rsidR="00A85698">
        <w:t>), a</w:t>
      </w:r>
      <w:r w:rsidR="00F37B9A">
        <w:t>n</w:t>
      </w:r>
      <w:r w:rsidR="00A85698">
        <w:t xml:space="preserve"> </w:t>
      </w:r>
      <w:r w:rsidR="005F52CC">
        <w:t xml:space="preserve">FSA may also be useful in those situations where there is a need for risk reduction but the required decisions regarding what to do are unclear, regardless of the scope of the project. </w:t>
      </w:r>
      <w:r w:rsidR="00A85698">
        <w:t xml:space="preserve">As shown in paragraphs </w:t>
      </w:r>
      <w:r w:rsidR="00A85698" w:rsidRPr="007270C6">
        <w:t>6-7</w:t>
      </w:r>
      <w:r w:rsidR="00A85698">
        <w:t>, the current</w:t>
      </w:r>
      <w:r w:rsidR="005F52CC">
        <w:t xml:space="preserve"> circumstance</w:t>
      </w:r>
      <w:r w:rsidR="00A85698">
        <w:t xml:space="preserve">s </w:t>
      </w:r>
      <w:r w:rsidR="00544878">
        <w:t>provide for</w:t>
      </w:r>
      <w:r w:rsidR="00F37B9A">
        <w:t xml:space="preserve"> such a situation</w:t>
      </w:r>
      <w:r w:rsidR="005F52CC">
        <w:t xml:space="preserve">, </w:t>
      </w:r>
      <w:r w:rsidR="00A85698">
        <w:t>and</w:t>
      </w:r>
      <w:r w:rsidR="007270C6">
        <w:t>,</w:t>
      </w:r>
      <w:r w:rsidR="00A85698">
        <w:t xml:space="preserve"> as such</w:t>
      </w:r>
      <w:r w:rsidR="007270C6">
        <w:t>,</w:t>
      </w:r>
      <w:r w:rsidR="00A85698">
        <w:t xml:space="preserve"> a</w:t>
      </w:r>
      <w:r w:rsidR="00F37B9A">
        <w:t>n</w:t>
      </w:r>
      <w:r w:rsidR="00A85698">
        <w:t xml:space="preserve"> </w:t>
      </w:r>
      <w:r w:rsidR="005F52CC">
        <w:t xml:space="preserve">FSA will enable the </w:t>
      </w:r>
      <w:r w:rsidR="00544878">
        <w:t xml:space="preserve">need and </w:t>
      </w:r>
      <w:r w:rsidR="005F52CC">
        <w:t xml:space="preserve">benefits of proposed changes to be properly established, </w:t>
      </w:r>
      <w:proofErr w:type="gramStart"/>
      <w:r w:rsidR="005F52CC">
        <w:t>so as to</w:t>
      </w:r>
      <w:proofErr w:type="gramEnd"/>
      <w:r w:rsidR="005F52CC">
        <w:t xml:space="preserve"> give Member States a clearer perception of the scope of the proposals and an improved basis on which they take decisions</w:t>
      </w:r>
      <w:r w:rsidR="00A85698">
        <w:t xml:space="preserve">. </w:t>
      </w:r>
      <w:r w:rsidR="00030E27">
        <w:t>Furthermore, t</w:t>
      </w:r>
      <w:r w:rsidR="00A85698">
        <w:t xml:space="preserve">his decision-making process is already facilitated by </w:t>
      </w:r>
      <w:r w:rsidR="00030E27">
        <w:t>MSC 103’s</w:t>
      </w:r>
      <w:r w:rsidR="00A85698">
        <w:t xml:space="preserve"> </w:t>
      </w:r>
      <w:r w:rsidR="003F6737">
        <w:t xml:space="preserve">decision </w:t>
      </w:r>
      <w:r w:rsidR="00A85698">
        <w:t>that the new output is to be completed in association with the CCC Sub-Committee as and when requested by the SSE Sub-Committee.</w:t>
      </w:r>
    </w:p>
    <w:p w14:paraId="5E67425C" w14:textId="45C155BF" w:rsidR="000E40D7" w:rsidRDefault="000E40D7" w:rsidP="0005358B">
      <w:pPr>
        <w:tabs>
          <w:tab w:val="clear" w:pos="851"/>
        </w:tabs>
      </w:pPr>
    </w:p>
    <w:p w14:paraId="133FDA48" w14:textId="73322430" w:rsidR="009F6DF3" w:rsidRDefault="000E40D7" w:rsidP="0005358B">
      <w:pPr>
        <w:tabs>
          <w:tab w:val="clear" w:pos="851"/>
        </w:tabs>
      </w:pPr>
      <w:r>
        <w:t>9</w:t>
      </w:r>
      <w:r w:rsidRPr="00742103">
        <w:tab/>
        <w:t>In addition</w:t>
      </w:r>
      <w:r w:rsidR="00780995" w:rsidRPr="00742103">
        <w:t xml:space="preserve"> to the above</w:t>
      </w:r>
      <w:r w:rsidRPr="00742103">
        <w:t xml:space="preserve">, the co-sponsors </w:t>
      </w:r>
      <w:r w:rsidR="00780995" w:rsidRPr="00742103">
        <w:t xml:space="preserve">agree </w:t>
      </w:r>
      <w:r w:rsidRPr="00742103">
        <w:t xml:space="preserve">that any regulatory amendments </w:t>
      </w:r>
      <w:r w:rsidR="00780995" w:rsidRPr="00742103">
        <w:t xml:space="preserve">to </w:t>
      </w:r>
      <w:r w:rsidRPr="00742103">
        <w:t xml:space="preserve">be made </w:t>
      </w:r>
      <w:r w:rsidR="00780995" w:rsidRPr="00742103">
        <w:t xml:space="preserve">should be </w:t>
      </w:r>
      <w:r w:rsidRPr="00742103">
        <w:t xml:space="preserve">in accordance with the </w:t>
      </w:r>
      <w:r w:rsidRPr="00742103">
        <w:rPr>
          <w:i/>
          <w:iCs/>
        </w:rPr>
        <w:t xml:space="preserve">Generic Guidelines for Developing IMO Goal-Based Standards </w:t>
      </w:r>
      <w:r w:rsidRPr="00742103">
        <w:t>(MSC.1/Circ.1394/Rev.2)</w:t>
      </w:r>
      <w:r w:rsidR="00742103" w:rsidRPr="00742103">
        <w:t>.</w:t>
      </w:r>
    </w:p>
    <w:p w14:paraId="77F88EB6" w14:textId="1587E491" w:rsidR="003F6737" w:rsidRDefault="003F6737" w:rsidP="0005358B">
      <w:pPr>
        <w:tabs>
          <w:tab w:val="clear" w:pos="851"/>
        </w:tabs>
      </w:pPr>
    </w:p>
    <w:p w14:paraId="19583950" w14:textId="689B7319" w:rsidR="003F6737" w:rsidRDefault="003F6737" w:rsidP="0005358B">
      <w:pPr>
        <w:tabs>
          <w:tab w:val="clear" w:pos="851"/>
        </w:tabs>
      </w:pPr>
    </w:p>
    <w:p w14:paraId="0DA2307C" w14:textId="4288B7EB" w:rsidR="00E47018" w:rsidRPr="00E47018" w:rsidRDefault="00E47018" w:rsidP="0005358B">
      <w:pPr>
        <w:tabs>
          <w:tab w:val="clear" w:pos="851"/>
        </w:tabs>
        <w:rPr>
          <w:b/>
          <w:bCs/>
        </w:rPr>
      </w:pPr>
      <w:r w:rsidRPr="00E47018">
        <w:rPr>
          <w:b/>
          <w:bCs/>
        </w:rPr>
        <w:t xml:space="preserve">European Maritime Safety </w:t>
      </w:r>
      <w:r>
        <w:rPr>
          <w:b/>
          <w:bCs/>
        </w:rPr>
        <w:t>Agency</w:t>
      </w:r>
      <w:r w:rsidR="00EB4294">
        <w:rPr>
          <w:b/>
          <w:bCs/>
        </w:rPr>
        <w:t xml:space="preserve"> (EMSA) Study</w:t>
      </w:r>
    </w:p>
    <w:p w14:paraId="5C0F9D30" w14:textId="77777777" w:rsidR="00E47018" w:rsidRDefault="00E47018" w:rsidP="0005358B">
      <w:pPr>
        <w:tabs>
          <w:tab w:val="clear" w:pos="851"/>
        </w:tabs>
      </w:pPr>
    </w:p>
    <w:p w14:paraId="105DFD1A" w14:textId="65A34BC8" w:rsidR="00EB4294" w:rsidRDefault="00780995" w:rsidP="0005358B">
      <w:pPr>
        <w:tabs>
          <w:tab w:val="clear" w:pos="851"/>
        </w:tabs>
      </w:pPr>
      <w:r>
        <w:t>10</w:t>
      </w:r>
      <w:r w:rsidR="00EB4294">
        <w:tab/>
      </w:r>
      <w:r w:rsidR="000B18B7">
        <w:t xml:space="preserve">The </w:t>
      </w:r>
      <w:r w:rsidR="00544878">
        <w:t xml:space="preserve">co-sponsors </w:t>
      </w:r>
      <w:r w:rsidR="00F37B9A">
        <w:t xml:space="preserve">further </w:t>
      </w:r>
      <w:r w:rsidR="00544878">
        <w:t xml:space="preserve">note </w:t>
      </w:r>
      <w:r w:rsidR="000B18B7">
        <w:t xml:space="preserve">that the European Maritime Safety Agency (EMSA) is currently </w:t>
      </w:r>
      <w:r w:rsidR="00BD09A0">
        <w:t xml:space="preserve">finalising arrangements to commence </w:t>
      </w:r>
      <w:r w:rsidR="00F37B9A">
        <w:t xml:space="preserve">a </w:t>
      </w:r>
      <w:r w:rsidR="008C2933">
        <w:t xml:space="preserve">safety risk study on containerised cargo fires, following the structure of </w:t>
      </w:r>
      <w:r w:rsidR="00F37B9A">
        <w:t xml:space="preserve">an </w:t>
      </w:r>
      <w:r w:rsidR="008C2933">
        <w:t>FSA as described in IMO's Guidelines</w:t>
      </w:r>
      <w:r w:rsidR="00E451DB">
        <w:t xml:space="preserve"> (</w:t>
      </w:r>
      <w:r w:rsidR="00E451DB" w:rsidRPr="00AC469E">
        <w:t>MSC-MEPC.2/Circ.12/Rev.2</w:t>
      </w:r>
      <w:r w:rsidR="00E451DB">
        <w:t>).</w:t>
      </w:r>
      <w:r w:rsidR="008C2933">
        <w:t xml:space="preserve"> </w:t>
      </w:r>
      <w:r w:rsidR="00E451DB">
        <w:t xml:space="preserve">The duration of the study is one </w:t>
      </w:r>
      <w:proofErr w:type="gramStart"/>
      <w:r w:rsidR="00E451DB">
        <w:t>year</w:t>
      </w:r>
      <w:proofErr w:type="gramEnd"/>
      <w:r w:rsidR="00E451DB">
        <w:t xml:space="preserve"> and the final report is expected at the end of 2022.</w:t>
      </w:r>
    </w:p>
    <w:p w14:paraId="679589D1" w14:textId="77777777" w:rsidR="00EB4294" w:rsidRDefault="00EB4294" w:rsidP="0005358B">
      <w:pPr>
        <w:tabs>
          <w:tab w:val="clear" w:pos="851"/>
        </w:tabs>
      </w:pPr>
    </w:p>
    <w:p w14:paraId="03A85686" w14:textId="59B99938" w:rsidR="00DF715E" w:rsidRDefault="00EB4294" w:rsidP="00DF715E">
      <w:pPr>
        <w:tabs>
          <w:tab w:val="clear" w:pos="851"/>
        </w:tabs>
      </w:pPr>
      <w:r>
        <w:t>1</w:t>
      </w:r>
      <w:r w:rsidR="00780995">
        <w:t>1</w:t>
      </w:r>
      <w:r>
        <w:tab/>
      </w:r>
      <w:r w:rsidR="00DF715E">
        <w:t xml:space="preserve">The study </w:t>
      </w:r>
      <w:r w:rsidR="006E6A80">
        <w:t xml:space="preserve">is intended to </w:t>
      </w:r>
      <w:r w:rsidR="00DF715E">
        <w:t>include the following tasks and objectives:</w:t>
      </w:r>
    </w:p>
    <w:p w14:paraId="0768465A" w14:textId="77777777" w:rsidR="00DF715E" w:rsidRDefault="00DF715E" w:rsidP="00DF715E">
      <w:pPr>
        <w:tabs>
          <w:tab w:val="clear" w:pos="851"/>
        </w:tabs>
      </w:pPr>
    </w:p>
    <w:p w14:paraId="6C0C087A" w14:textId="77777777" w:rsidR="00DF715E" w:rsidRDefault="00DF715E" w:rsidP="00590CEE">
      <w:pPr>
        <w:pStyle w:val="ListParagraph"/>
        <w:numPr>
          <w:ilvl w:val="0"/>
          <w:numId w:val="16"/>
        </w:numPr>
        <w:tabs>
          <w:tab w:val="clear" w:pos="851"/>
        </w:tabs>
        <w:spacing w:after="120"/>
        <w:ind w:left="714" w:hanging="357"/>
        <w:contextualSpacing w:val="0"/>
      </w:pPr>
      <w:r>
        <w:t>hazard identification: identify and prioritize a list of scenarios considering the risk relating to the transport of containerised cargo and the risk of f</w:t>
      </w:r>
      <w:r w:rsidRPr="00597977">
        <w:t xml:space="preserve">ire inside </w:t>
      </w:r>
      <w:r>
        <w:t xml:space="preserve">a </w:t>
      </w:r>
      <w:r w:rsidRPr="00597977">
        <w:t xml:space="preserve">containerised </w:t>
      </w:r>
      <w:proofErr w:type="gramStart"/>
      <w:r w:rsidRPr="00597977">
        <w:t>unit</w:t>
      </w:r>
      <w:r>
        <w:t>;</w:t>
      </w:r>
      <w:proofErr w:type="gramEnd"/>
    </w:p>
    <w:p w14:paraId="24AE1A32" w14:textId="2AD6FD92" w:rsidR="00DF715E" w:rsidRDefault="00DF715E" w:rsidP="00590CEE">
      <w:pPr>
        <w:pStyle w:val="ListParagraph"/>
        <w:numPr>
          <w:ilvl w:val="0"/>
          <w:numId w:val="16"/>
        </w:numPr>
        <w:tabs>
          <w:tab w:val="clear" w:pos="851"/>
        </w:tabs>
        <w:spacing w:after="120"/>
        <w:ind w:left="714" w:hanging="357"/>
        <w:contextualSpacing w:val="0"/>
      </w:pPr>
      <w:r>
        <w:t xml:space="preserve">risk analysis: for the hazards identified and prioritized, </w:t>
      </w:r>
      <w:r w:rsidRPr="00597977">
        <w:t>develop a detailed investigation of the causes, initiating events</w:t>
      </w:r>
      <w:r>
        <w:t>, frequency</w:t>
      </w:r>
      <w:r w:rsidRPr="00597977">
        <w:t xml:space="preserve"> and </w:t>
      </w:r>
      <w:proofErr w:type="gramStart"/>
      <w:r w:rsidRPr="00597977">
        <w:t>consequences</w:t>
      </w:r>
      <w:r>
        <w:t>;</w:t>
      </w:r>
      <w:proofErr w:type="gramEnd"/>
    </w:p>
    <w:p w14:paraId="462FBCF7" w14:textId="15D59824" w:rsidR="00DF715E" w:rsidRDefault="00DF715E" w:rsidP="00590CEE">
      <w:pPr>
        <w:pStyle w:val="ListParagraph"/>
        <w:numPr>
          <w:ilvl w:val="0"/>
          <w:numId w:val="16"/>
        </w:numPr>
        <w:tabs>
          <w:tab w:val="clear" w:pos="851"/>
        </w:tabs>
        <w:spacing w:after="120"/>
        <w:ind w:left="714" w:hanging="357"/>
        <w:contextualSpacing w:val="0"/>
      </w:pPr>
      <w:r>
        <w:lastRenderedPageBreak/>
        <w:t>risk control options</w:t>
      </w:r>
      <w:r w:rsidR="006E4099">
        <w:t xml:space="preserve"> (RCOs)</w:t>
      </w:r>
      <w:r>
        <w:t xml:space="preserve">: identify and analyse risk control options for the following categories: </w:t>
      </w:r>
      <w:proofErr w:type="spellStart"/>
      <w:r>
        <w:t>i</w:t>
      </w:r>
      <w:proofErr w:type="spellEnd"/>
      <w:r>
        <w:t xml:space="preserve">) prevention, ii) detection/decision, iii) containment and iv) fire </w:t>
      </w:r>
      <w:proofErr w:type="gramStart"/>
      <w:r>
        <w:t>extinguishing;</w:t>
      </w:r>
      <w:proofErr w:type="gramEnd"/>
    </w:p>
    <w:p w14:paraId="3071308A" w14:textId="417247D3" w:rsidR="00DF715E" w:rsidRDefault="00DF715E" w:rsidP="00590CEE">
      <w:pPr>
        <w:pStyle w:val="ListParagraph"/>
        <w:numPr>
          <w:ilvl w:val="0"/>
          <w:numId w:val="16"/>
        </w:numPr>
        <w:tabs>
          <w:tab w:val="clear" w:pos="851"/>
        </w:tabs>
        <w:spacing w:after="120"/>
        <w:ind w:left="714" w:hanging="357"/>
        <w:contextualSpacing w:val="0"/>
      </w:pPr>
      <w:r>
        <w:t xml:space="preserve">cost effectiveness assessment: </w:t>
      </w:r>
      <w:r w:rsidRPr="009842BA">
        <w:t>calculat</w:t>
      </w:r>
      <w:r>
        <w:t>e</w:t>
      </w:r>
      <w:r w:rsidRPr="009842BA">
        <w:t xml:space="preserve"> and compar</w:t>
      </w:r>
      <w:r>
        <w:t>e</w:t>
      </w:r>
      <w:r w:rsidRPr="009842BA">
        <w:t xml:space="preserve"> cost effectiveness associated with the implementation of each risk control option</w:t>
      </w:r>
      <w:r>
        <w:t xml:space="preserve">; and </w:t>
      </w:r>
    </w:p>
    <w:p w14:paraId="0EB6F91E" w14:textId="0AE45E6B" w:rsidR="00EC7CC3" w:rsidRDefault="00DF715E">
      <w:pPr>
        <w:pStyle w:val="ListParagraph"/>
        <w:numPr>
          <w:ilvl w:val="0"/>
          <w:numId w:val="16"/>
        </w:numPr>
        <w:tabs>
          <w:tab w:val="clear" w:pos="851"/>
        </w:tabs>
        <w:spacing w:after="120"/>
        <w:ind w:left="714" w:hanging="357"/>
        <w:contextualSpacing w:val="0"/>
      </w:pPr>
      <w:r>
        <w:t xml:space="preserve">recommendations for decision </w:t>
      </w:r>
      <w:proofErr w:type="gramStart"/>
      <w:r>
        <w:t>making:</w:t>
      </w:r>
      <w:proofErr w:type="gramEnd"/>
      <w:r w:rsidR="00144E9F">
        <w:t xml:space="preserve"> </w:t>
      </w:r>
      <w:r>
        <w:t>l</w:t>
      </w:r>
      <w:r w:rsidRPr="009842BA">
        <w:t>ist of recommendations to support the implementation of the RCOs identified as cost effective in the reduction of risk associated to occurrence of cargo fires onboard containerships.</w:t>
      </w:r>
    </w:p>
    <w:p w14:paraId="3BA6FFCF" w14:textId="4D3321BD" w:rsidR="007B73B7" w:rsidRDefault="00DF715E" w:rsidP="00590CEE">
      <w:pPr>
        <w:tabs>
          <w:tab w:val="clear" w:pos="851"/>
        </w:tabs>
        <w:spacing w:after="120"/>
      </w:pPr>
      <w:r>
        <w:t xml:space="preserve">Full specifications of EMSA’s study entitled </w:t>
      </w:r>
      <w:r w:rsidRPr="00EB4294">
        <w:t>‘Study Investigating Cost Efficient Measures for Reducing the Risk from Cargo Fires on Container Vessels (</w:t>
      </w:r>
      <w:proofErr w:type="spellStart"/>
      <w:r w:rsidRPr="00EB4294">
        <w:t>Cargosafe</w:t>
      </w:r>
      <w:proofErr w:type="spellEnd"/>
      <w:r w:rsidRPr="00EB4294">
        <w:t>)’</w:t>
      </w:r>
      <w:r>
        <w:t xml:space="preserve"> can currently be found on the following website: </w:t>
      </w:r>
      <w:hyperlink r:id="rId9" w:history="1">
        <w:r w:rsidRPr="000A5176">
          <w:rPr>
            <w:rStyle w:val="Hyperlink"/>
          </w:rPr>
          <w:t>https://etendering.ted.europa.eu/document/document-file-download.html?docFileId=107786</w:t>
        </w:r>
      </w:hyperlink>
      <w:r>
        <w:t>.</w:t>
      </w:r>
    </w:p>
    <w:p w14:paraId="5D76D6F1" w14:textId="77777777" w:rsidR="007B73B7" w:rsidRDefault="007B73B7" w:rsidP="0005358B">
      <w:pPr>
        <w:tabs>
          <w:tab w:val="clear" w:pos="851"/>
        </w:tabs>
      </w:pPr>
    </w:p>
    <w:p w14:paraId="63D55FD5" w14:textId="54A50E4C" w:rsidR="00216B69" w:rsidRDefault="007B73B7" w:rsidP="0005358B">
      <w:pPr>
        <w:tabs>
          <w:tab w:val="clear" w:pos="851"/>
        </w:tabs>
      </w:pPr>
      <w:r>
        <w:t>1</w:t>
      </w:r>
      <w:r w:rsidR="00780995">
        <w:t>2</w:t>
      </w:r>
      <w:r>
        <w:tab/>
      </w:r>
      <w:r w:rsidR="006E6A80">
        <w:t>Without prejudice to other current or future studies and initiatives on this matter based on an FSA approach, which could also provide important input to the regulatory review, t</w:t>
      </w:r>
      <w:r>
        <w:t>he co-sponsors submit that this study</w:t>
      </w:r>
      <w:r w:rsidR="00EB4294">
        <w:t xml:space="preserve"> </w:t>
      </w:r>
      <w:r w:rsidR="00184467">
        <w:t xml:space="preserve">would satisfy </w:t>
      </w:r>
      <w:r w:rsidR="00EB4294">
        <w:t xml:space="preserve">the </w:t>
      </w:r>
      <w:r>
        <w:t>recommendations</w:t>
      </w:r>
      <w:r w:rsidR="00EB4294">
        <w:t xml:space="preserve"> put forward in paragraphs </w:t>
      </w:r>
      <w:r w:rsidR="0099195D" w:rsidRPr="007270C6">
        <w:t>4</w:t>
      </w:r>
      <w:r w:rsidR="00EB4294" w:rsidRPr="007270C6">
        <w:t>-</w:t>
      </w:r>
      <w:r w:rsidR="0099195D" w:rsidRPr="007270C6">
        <w:t>8</w:t>
      </w:r>
      <w:r w:rsidR="00EB4294" w:rsidRPr="007270C6">
        <w:t xml:space="preserve"> </w:t>
      </w:r>
      <w:r w:rsidR="00EB4294">
        <w:t>above</w:t>
      </w:r>
      <w:r w:rsidR="00DD3F63">
        <w:t xml:space="preserve">, </w:t>
      </w:r>
      <w:r>
        <w:t xml:space="preserve">and </w:t>
      </w:r>
      <w:r w:rsidR="00DD3F63">
        <w:t xml:space="preserve">that </w:t>
      </w:r>
      <w:r>
        <w:t xml:space="preserve">its </w:t>
      </w:r>
      <w:r w:rsidR="00DD3F63">
        <w:t>recommendations</w:t>
      </w:r>
      <w:r>
        <w:t xml:space="preserve"> could be considered by the Sub-Committee</w:t>
      </w:r>
      <w:r w:rsidR="006E6A80">
        <w:t>. This should be done</w:t>
      </w:r>
      <w:r>
        <w:t xml:space="preserve"> in parallel with </w:t>
      </w:r>
      <w:r w:rsidRPr="003D2657">
        <w:t xml:space="preserve">feedback </w:t>
      </w:r>
      <w:r w:rsidR="003D2657" w:rsidRPr="003D2657">
        <w:t xml:space="preserve">to be submitted by </w:t>
      </w:r>
      <w:r w:rsidR="003D2657">
        <w:t>interested Member States and international organizations</w:t>
      </w:r>
      <w:r w:rsidR="003D2657" w:rsidRPr="001F3D14" w:rsidDel="003D2657">
        <w:rPr>
          <w:color w:val="FF0000"/>
        </w:rPr>
        <w:t xml:space="preserve"> </w:t>
      </w:r>
      <w:r w:rsidR="003D2657" w:rsidRPr="00742103">
        <w:t>in the regulatory review process</w:t>
      </w:r>
      <w:r w:rsidRPr="00742103">
        <w:t>.</w:t>
      </w:r>
    </w:p>
    <w:p w14:paraId="6A94BA43" w14:textId="77777777" w:rsidR="00216B69" w:rsidRDefault="00216B69" w:rsidP="0005358B">
      <w:pPr>
        <w:tabs>
          <w:tab w:val="clear" w:pos="851"/>
        </w:tabs>
      </w:pPr>
    </w:p>
    <w:p w14:paraId="3AE0C646" w14:textId="77777777" w:rsidR="00E47018" w:rsidRPr="00E47018" w:rsidRDefault="00E47018" w:rsidP="0005358B">
      <w:pPr>
        <w:tabs>
          <w:tab w:val="clear" w:pos="851"/>
        </w:tabs>
        <w:rPr>
          <w:b/>
          <w:bCs/>
        </w:rPr>
      </w:pPr>
      <w:r w:rsidRPr="00E47018">
        <w:rPr>
          <w:b/>
          <w:bCs/>
        </w:rPr>
        <w:t>Proposal</w:t>
      </w:r>
    </w:p>
    <w:p w14:paraId="516A0B20" w14:textId="77777777" w:rsidR="00E47018" w:rsidRDefault="00E47018" w:rsidP="0005358B">
      <w:pPr>
        <w:tabs>
          <w:tab w:val="clear" w:pos="851"/>
        </w:tabs>
      </w:pPr>
    </w:p>
    <w:p w14:paraId="1119F99D" w14:textId="5B22643B" w:rsidR="0015312F" w:rsidRDefault="00780995" w:rsidP="00742103">
      <w:r>
        <w:t>13</w:t>
      </w:r>
      <w:r>
        <w:tab/>
      </w:r>
      <w:r w:rsidR="00030E27">
        <w:t>Taking into consideration</w:t>
      </w:r>
      <w:r w:rsidR="00BC3BDA">
        <w:t xml:space="preserve"> </w:t>
      </w:r>
      <w:r w:rsidR="00030E27">
        <w:t xml:space="preserve">the recommendations </w:t>
      </w:r>
      <w:r w:rsidR="00970A3C">
        <w:t xml:space="preserve">and information provided </w:t>
      </w:r>
      <w:r w:rsidR="00030E27">
        <w:t>in paragraphs</w:t>
      </w:r>
      <w:r w:rsidR="00E47018">
        <w:t xml:space="preserve"> </w:t>
      </w:r>
      <w:r w:rsidR="00030E27" w:rsidRPr="007270C6">
        <w:t>4</w:t>
      </w:r>
      <w:r w:rsidR="00E47018" w:rsidRPr="007270C6">
        <w:t>-</w:t>
      </w:r>
      <w:r w:rsidR="00030E27" w:rsidRPr="007270C6">
        <w:t>1</w:t>
      </w:r>
      <w:r>
        <w:t>2</w:t>
      </w:r>
      <w:r w:rsidR="00030E27" w:rsidRPr="007270C6">
        <w:t xml:space="preserve"> </w:t>
      </w:r>
      <w:r w:rsidR="00030E27">
        <w:t>of this document</w:t>
      </w:r>
      <w:r w:rsidR="00BC3BDA">
        <w:t>, as well as</w:t>
      </w:r>
      <w:r w:rsidR="00BC3BDA" w:rsidDel="00BC3BDA">
        <w:t xml:space="preserve"> </w:t>
      </w:r>
      <w:r w:rsidR="00BC3BDA">
        <w:t>t</w:t>
      </w:r>
      <w:r w:rsidR="0015312F">
        <w:t xml:space="preserve">he </w:t>
      </w:r>
      <w:r w:rsidR="0099195D">
        <w:t xml:space="preserve">specific </w:t>
      </w:r>
      <w:r w:rsidR="0015312F">
        <w:t xml:space="preserve">needs of the new output as approved by MSC 103, </w:t>
      </w:r>
      <w:r w:rsidR="00030E27">
        <w:t>the co-sponsors</w:t>
      </w:r>
      <w:r w:rsidR="00E47018">
        <w:t xml:space="preserve"> propose</w:t>
      </w:r>
      <w:r w:rsidR="000C5A06">
        <w:t>, in the interest of saving valuable time,</w:t>
      </w:r>
      <w:r w:rsidR="00E47018">
        <w:t xml:space="preserve"> </w:t>
      </w:r>
      <w:r w:rsidR="00030E27">
        <w:t>that the Sub-Committee</w:t>
      </w:r>
      <w:r w:rsidR="00970A3C">
        <w:t xml:space="preserve"> </w:t>
      </w:r>
      <w:r w:rsidR="00624808">
        <w:t>invite the 105</w:t>
      </w:r>
      <w:r w:rsidR="00624808" w:rsidRPr="00590CEE">
        <w:rPr>
          <w:vertAlign w:val="superscript"/>
        </w:rPr>
        <w:t>th</w:t>
      </w:r>
      <w:r w:rsidR="00624808">
        <w:t xml:space="preserve"> session of MSC to </w:t>
      </w:r>
      <w:r w:rsidR="0015312F">
        <w:t>establish a</w:t>
      </w:r>
      <w:r w:rsidR="00752CA6">
        <w:t>n FSA Group of Experts</w:t>
      </w:r>
      <w:r w:rsidR="00372957">
        <w:t xml:space="preserve">, to work </w:t>
      </w:r>
      <w:proofErr w:type="spellStart"/>
      <w:r w:rsidR="00372957">
        <w:t>intersessionally</w:t>
      </w:r>
      <w:proofErr w:type="spellEnd"/>
      <w:r w:rsidR="00372957">
        <w:t xml:space="preserve">, and </w:t>
      </w:r>
      <w:r w:rsidR="00752CA6">
        <w:t>to</w:t>
      </w:r>
      <w:r w:rsidR="0015312F">
        <w:t>:</w:t>
      </w:r>
    </w:p>
    <w:p w14:paraId="37E495A1" w14:textId="77777777" w:rsidR="0015312F" w:rsidRDefault="0015312F" w:rsidP="0015312F">
      <w:pPr>
        <w:pStyle w:val="ListParagraph"/>
        <w:tabs>
          <w:tab w:val="clear" w:pos="851"/>
        </w:tabs>
      </w:pPr>
    </w:p>
    <w:p w14:paraId="77565385" w14:textId="23FB7484" w:rsidR="0015312F" w:rsidRDefault="0015312F" w:rsidP="00590CEE">
      <w:pPr>
        <w:pStyle w:val="ListParagraph"/>
        <w:tabs>
          <w:tab w:val="clear" w:pos="851"/>
        </w:tabs>
        <w:spacing w:after="120"/>
        <w:ind w:left="1702" w:hanging="982"/>
        <w:contextualSpacing w:val="0"/>
      </w:pPr>
      <w:r>
        <w:t>.1</w:t>
      </w:r>
      <w:r>
        <w:tab/>
      </w:r>
      <w:r w:rsidR="00DA4F69">
        <w:t>review</w:t>
      </w:r>
      <w:r w:rsidR="00DA4F69" w:rsidRPr="00E47018">
        <w:t xml:space="preserve"> </w:t>
      </w:r>
      <w:r w:rsidR="00DD3F63">
        <w:t>the</w:t>
      </w:r>
      <w:r w:rsidR="003801D1">
        <w:t xml:space="preserve"> </w:t>
      </w:r>
      <w:r w:rsidR="00752CA6">
        <w:t>out</w:t>
      </w:r>
      <w:r w:rsidR="00203A71">
        <w:t>comes</w:t>
      </w:r>
      <w:r w:rsidR="00752CA6">
        <w:t xml:space="preserve"> of</w:t>
      </w:r>
      <w:r w:rsidRPr="00E47018">
        <w:t xml:space="preserve"> EMSA</w:t>
      </w:r>
      <w:r w:rsidR="0099195D">
        <w:t>’s</w:t>
      </w:r>
      <w:r w:rsidRPr="00E47018">
        <w:t xml:space="preserve"> </w:t>
      </w:r>
      <w:r w:rsidR="00DD3F63">
        <w:t>‘</w:t>
      </w:r>
      <w:r w:rsidRPr="00E47018">
        <w:t>Study Investigating Cost Efficient Measures for Reducing the Risk from Cargo Fires on Container Vessels (</w:t>
      </w:r>
      <w:proofErr w:type="spellStart"/>
      <w:r>
        <w:t>Cargosafe</w:t>
      </w:r>
      <w:proofErr w:type="spellEnd"/>
      <w:r w:rsidR="00DD3F63" w:rsidRPr="00E47018">
        <w:t>)</w:t>
      </w:r>
      <w:r w:rsidR="00DD3F63">
        <w:t>’</w:t>
      </w:r>
      <w:r w:rsidR="00752CA6">
        <w:t xml:space="preserve">, as </w:t>
      </w:r>
      <w:r w:rsidR="00F05BF9">
        <w:t>available</w:t>
      </w:r>
      <w:r w:rsidR="00752CA6">
        <w:t>,</w:t>
      </w:r>
      <w:r w:rsidR="00DD3F63">
        <w:t xml:space="preserve"> </w:t>
      </w:r>
      <w:r w:rsidR="00372957">
        <w:t>a</w:t>
      </w:r>
      <w:r w:rsidR="00EC7CC3">
        <w:t>s well as</w:t>
      </w:r>
      <w:r w:rsidR="00372957">
        <w:t xml:space="preserve"> </w:t>
      </w:r>
      <w:r w:rsidR="001F3D14" w:rsidRPr="00742103">
        <w:t xml:space="preserve">any </w:t>
      </w:r>
      <w:r w:rsidR="00372957">
        <w:t xml:space="preserve">other </w:t>
      </w:r>
      <w:r w:rsidR="001F3D14" w:rsidRPr="00742103">
        <w:t>feedback</w:t>
      </w:r>
      <w:r w:rsidR="00DD3F63" w:rsidRPr="00742103">
        <w:t>,</w:t>
      </w:r>
      <w:r w:rsidR="001F3D14" w:rsidRPr="00742103">
        <w:t xml:space="preserve"> </w:t>
      </w:r>
      <w:r w:rsidR="00DD3F63" w:rsidRPr="00742103">
        <w:t>submitted to th</w:t>
      </w:r>
      <w:r w:rsidR="00BC3BDA" w:rsidRPr="00742103">
        <w:t>e</w:t>
      </w:r>
      <w:r w:rsidR="00DD3F63" w:rsidRPr="00742103">
        <w:t xml:space="preserve"> </w:t>
      </w:r>
      <w:r w:rsidR="003D2657" w:rsidRPr="00742103">
        <w:t>G</w:t>
      </w:r>
      <w:r w:rsidR="00DD3F63" w:rsidRPr="00742103">
        <w:t>roup</w:t>
      </w:r>
      <w:r w:rsidR="003D2657" w:rsidRPr="00742103">
        <w:t xml:space="preserve"> by </w:t>
      </w:r>
      <w:r w:rsidR="00F05BF9">
        <w:t xml:space="preserve">interested </w:t>
      </w:r>
      <w:r w:rsidR="003D2657" w:rsidRPr="00742103">
        <w:t xml:space="preserve">Member States and </w:t>
      </w:r>
      <w:r w:rsidR="00FC5A18">
        <w:t>internationa</w:t>
      </w:r>
      <w:r w:rsidR="0076342B">
        <w:t xml:space="preserve">l </w:t>
      </w:r>
      <w:r w:rsidR="003D2657" w:rsidRPr="00742103">
        <w:t>organizations</w:t>
      </w:r>
      <w:r w:rsidR="00DD3F63" w:rsidRPr="00742103">
        <w:t xml:space="preserve">, </w:t>
      </w:r>
      <w:r w:rsidR="003D2657" w:rsidRPr="00742103">
        <w:t>in the regulatory review process</w:t>
      </w:r>
      <w:r w:rsidR="006E6A80">
        <w:t>, including any other studies and initiatives on this matter embodying a</w:t>
      </w:r>
      <w:r w:rsidR="00900202">
        <w:t>n</w:t>
      </w:r>
      <w:r w:rsidR="006E6A80">
        <w:t xml:space="preserve"> FSA approach</w:t>
      </w:r>
      <w:r w:rsidRPr="00BC3BDA">
        <w:t>;</w:t>
      </w:r>
      <w:r w:rsidR="00381CAF">
        <w:t xml:space="preserve"> and</w:t>
      </w:r>
    </w:p>
    <w:p w14:paraId="498E9348" w14:textId="767A6F60" w:rsidR="00372957" w:rsidRDefault="0015312F" w:rsidP="0015312F">
      <w:pPr>
        <w:pStyle w:val="ListParagraph"/>
        <w:tabs>
          <w:tab w:val="clear" w:pos="851"/>
        </w:tabs>
      </w:pPr>
      <w:r>
        <w:t>.2</w:t>
      </w:r>
      <w:r>
        <w:tab/>
      </w:r>
      <w:r w:rsidR="00F05BF9">
        <w:t>report</w:t>
      </w:r>
      <w:r>
        <w:t xml:space="preserve"> to the Sub-Committee</w:t>
      </w:r>
      <w:r w:rsidR="00F05BF9">
        <w:t xml:space="preserve"> as an instructed subsidiary body</w:t>
      </w:r>
      <w:r>
        <w:t>,</w:t>
      </w:r>
    </w:p>
    <w:p w14:paraId="5E6B2581" w14:textId="77777777" w:rsidR="00372957" w:rsidRDefault="00372957" w:rsidP="00372957">
      <w:pPr>
        <w:tabs>
          <w:tab w:val="clear" w:pos="851"/>
        </w:tabs>
      </w:pPr>
    </w:p>
    <w:p w14:paraId="3FE9C563" w14:textId="3E3960EA" w:rsidR="0015312F" w:rsidRDefault="0015312F" w:rsidP="00590CEE">
      <w:pPr>
        <w:tabs>
          <w:tab w:val="clear" w:pos="851"/>
        </w:tabs>
      </w:pPr>
      <w:r>
        <w:t xml:space="preserve">with a view </w:t>
      </w:r>
      <w:r w:rsidR="00AF7303">
        <w:t xml:space="preserve">for the Sub-Committee </w:t>
      </w:r>
      <w:r>
        <w:t>to develop</w:t>
      </w:r>
      <w:r w:rsidR="001B07D0">
        <w:t>, as appropriate,</w:t>
      </w:r>
      <w:r>
        <w:t xml:space="preserve"> amendments to SOLAS chapter II-2 and the FSS Code concerning detection and control of fires in cargo holds and on the cargo deck of containership</w:t>
      </w:r>
      <w:r w:rsidR="00144E9F">
        <w:t>s</w:t>
      </w:r>
      <w:r w:rsidR="00780995">
        <w:t xml:space="preserve">, </w:t>
      </w:r>
      <w:r w:rsidR="00780995" w:rsidRPr="00742103">
        <w:t>in accordance with the</w:t>
      </w:r>
      <w:r w:rsidR="008700F1">
        <w:t xml:space="preserve"> above recommendations and the</w:t>
      </w:r>
      <w:r w:rsidR="00780995" w:rsidRPr="00742103">
        <w:t xml:space="preserve"> </w:t>
      </w:r>
      <w:r w:rsidR="00780995" w:rsidRPr="00372957">
        <w:rPr>
          <w:i/>
          <w:iCs/>
        </w:rPr>
        <w:t xml:space="preserve">Generic Guidelines for Developing IMO Goal-Based Standards </w:t>
      </w:r>
      <w:r w:rsidR="00780995" w:rsidRPr="00742103">
        <w:t>(MSC.1/Circ.1394/Rev.2).</w:t>
      </w:r>
    </w:p>
    <w:p w14:paraId="3CF0A6E5" w14:textId="5B65056B" w:rsidR="0099195D" w:rsidRDefault="0099195D" w:rsidP="0099195D">
      <w:pPr>
        <w:tabs>
          <w:tab w:val="clear" w:pos="851"/>
        </w:tabs>
      </w:pPr>
    </w:p>
    <w:p w14:paraId="67485052" w14:textId="77777777" w:rsidR="0099195D" w:rsidRPr="0099195D" w:rsidRDefault="0099195D" w:rsidP="0099195D">
      <w:pPr>
        <w:tabs>
          <w:tab w:val="clear" w:pos="851"/>
        </w:tabs>
        <w:rPr>
          <w:b/>
          <w:bCs/>
        </w:rPr>
      </w:pPr>
      <w:r w:rsidRPr="0099195D">
        <w:rPr>
          <w:b/>
          <w:bCs/>
        </w:rPr>
        <w:t>Action requested of the Committee</w:t>
      </w:r>
    </w:p>
    <w:p w14:paraId="5C3E3D98" w14:textId="77777777" w:rsidR="0099195D" w:rsidRDefault="0099195D" w:rsidP="0099195D">
      <w:pPr>
        <w:tabs>
          <w:tab w:val="clear" w:pos="851"/>
        </w:tabs>
      </w:pPr>
    </w:p>
    <w:p w14:paraId="237CF6BF" w14:textId="34E843CD" w:rsidR="0099195D" w:rsidRPr="003F6737" w:rsidRDefault="0099195D" w:rsidP="0099195D">
      <w:pPr>
        <w:tabs>
          <w:tab w:val="clear" w:pos="851"/>
        </w:tabs>
      </w:pPr>
      <w:r>
        <w:t>1</w:t>
      </w:r>
      <w:r w:rsidR="00780995">
        <w:t>4</w:t>
      </w:r>
      <w:r>
        <w:tab/>
        <w:t>The Committee is invited to consider the proposal in paragraph 1</w:t>
      </w:r>
      <w:r w:rsidR="00780995">
        <w:t>3</w:t>
      </w:r>
      <w:r>
        <w:t xml:space="preserve"> and </w:t>
      </w:r>
      <w:proofErr w:type="gramStart"/>
      <w:r>
        <w:t>take action</w:t>
      </w:r>
      <w:proofErr w:type="gramEnd"/>
      <w:r>
        <w:t>, as appropriate.</w:t>
      </w:r>
    </w:p>
    <w:p w14:paraId="4D8DD0B5" w14:textId="0AF154A1" w:rsidR="0099195D" w:rsidRPr="003F6737" w:rsidRDefault="0099195D" w:rsidP="0099195D">
      <w:pPr>
        <w:tabs>
          <w:tab w:val="clear" w:pos="851"/>
        </w:tabs>
      </w:pPr>
    </w:p>
    <w:sectPr w:rsidR="0099195D" w:rsidRPr="003F6737" w:rsidSect="00390FFB">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134" w:right="1418" w:bottom="1418" w:left="1418" w:header="851"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775D" w14:textId="77777777" w:rsidR="0010565A" w:rsidRDefault="0010565A">
      <w:r>
        <w:separator/>
      </w:r>
    </w:p>
  </w:endnote>
  <w:endnote w:type="continuationSeparator" w:id="0">
    <w:p w14:paraId="3D80FE73" w14:textId="77777777" w:rsidR="0010565A" w:rsidRDefault="0010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6233" w14:textId="77777777" w:rsidR="00736183" w:rsidRDefault="00736183" w:rsidP="00736183">
    <w:pPr>
      <w:pStyle w:val="Footer"/>
    </w:pPr>
  </w:p>
  <w:p w14:paraId="2D77DD08" w14:textId="609ED9DC" w:rsidR="00736183" w:rsidRPr="00DE73AA" w:rsidRDefault="00736183" w:rsidP="00736183">
    <w:pPr>
      <w:pStyle w:val="Footer"/>
      <w:pBdr>
        <w:top w:val="single" w:sz="4" w:space="1" w:color="auto"/>
      </w:pBdr>
      <w:rPr>
        <w:lang w:val="fr-FR"/>
      </w:rPr>
    </w:pPr>
    <w:r>
      <w:rPr>
        <w:lang w:val="en-US"/>
      </w:rPr>
      <w:fldChar w:fldCharType="begin"/>
    </w:r>
    <w:r>
      <w:rPr>
        <w:lang w:val="en-US"/>
      </w:rPr>
      <w:instrText xml:space="preserve"> FILENAME   \* MERGEFORMAT </w:instrText>
    </w:r>
    <w:r>
      <w:rPr>
        <w:lang w:val="en-US"/>
      </w:rPr>
      <w:fldChar w:fldCharType="separate"/>
    </w:r>
    <w:r>
      <w:rPr>
        <w:noProof/>
        <w:lang w:val="en-US"/>
      </w:rPr>
      <w:t>Template 2020 - Template 2020 (Secretariat).docx</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E794" w14:textId="77777777" w:rsidR="00736183" w:rsidRDefault="00736183" w:rsidP="00736183">
    <w:pPr>
      <w:pStyle w:val="Footer"/>
    </w:pPr>
  </w:p>
  <w:p w14:paraId="4F120BEE" w14:textId="77777777" w:rsidR="00736183" w:rsidRPr="00DE73AA" w:rsidRDefault="00736183" w:rsidP="00736183">
    <w:pPr>
      <w:pStyle w:val="Footer"/>
      <w:pBdr>
        <w:top w:val="single" w:sz="4" w:space="1" w:color="auto"/>
      </w:pBdr>
      <w:rPr>
        <w:lang w:val="fr-FR"/>
      </w:rPr>
    </w:pPr>
    <w:r>
      <w:rPr>
        <w:lang w:val="en-US"/>
      </w:rPr>
      <w:fldChar w:fldCharType="begin"/>
    </w:r>
    <w:r>
      <w:rPr>
        <w:lang w:val="en-US"/>
      </w:rPr>
      <w:instrText xml:space="preserve"> FILENAME   \* MERGEFORMAT </w:instrText>
    </w:r>
    <w:r>
      <w:rPr>
        <w:lang w:val="en-US"/>
      </w:rPr>
      <w:fldChar w:fldCharType="separate"/>
    </w:r>
    <w:r>
      <w:rPr>
        <w:noProof/>
        <w:lang w:val="en-US"/>
      </w:rPr>
      <w:t>Template 2020 - Template 2020 (Secretariat).docx</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B298" w14:textId="133400C7" w:rsidR="005E1512" w:rsidRDefault="005E1512" w:rsidP="005E1512">
    <w:pPr>
      <w:pStyle w:val="Footer"/>
    </w:pPr>
    <w:bookmarkStart w:id="11" w:name="_Hlk30152152"/>
  </w:p>
  <w:p w14:paraId="14D23F86" w14:textId="3EC7D712" w:rsidR="005E1512" w:rsidRPr="00DE73AA" w:rsidRDefault="00804000" w:rsidP="005E1512">
    <w:pPr>
      <w:pStyle w:val="Footer"/>
      <w:pBdr>
        <w:top w:val="single" w:sz="4" w:space="1" w:color="auto"/>
      </w:pBdr>
      <w:rPr>
        <w:lang w:val="fr-FR"/>
      </w:rPr>
    </w:pPr>
    <w:r>
      <w:rPr>
        <w:noProof/>
        <w:lang w:val="fr-FR"/>
      </w:rPr>
      <w:drawing>
        <wp:anchor distT="0" distB="0" distL="114300" distR="114300" simplePos="0" relativeHeight="251656192" behindDoc="1" locked="0" layoutInCell="1" allowOverlap="1" wp14:anchorId="354F1942" wp14:editId="3FAD7991">
          <wp:simplePos x="0" y="0"/>
          <wp:positionH relativeFrom="margin">
            <wp:align>right</wp:align>
          </wp:positionH>
          <wp:positionV relativeFrom="paragraph">
            <wp:posOffset>21590</wp:posOffset>
          </wp:positionV>
          <wp:extent cx="731520" cy="73152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5E1512">
      <w:rPr>
        <w:lang w:val="en-US"/>
      </w:rPr>
      <w:fldChar w:fldCharType="begin"/>
    </w:r>
    <w:r w:rsidR="005E1512">
      <w:rPr>
        <w:lang w:val="en-US"/>
      </w:rPr>
      <w:instrText xml:space="preserve"> FILENAME   \* MERGEFORMAT </w:instrText>
    </w:r>
    <w:r w:rsidR="005E1512">
      <w:rPr>
        <w:lang w:val="en-US"/>
      </w:rPr>
      <w:fldChar w:fldCharType="separate"/>
    </w:r>
    <w:r w:rsidR="00F775EB">
      <w:rPr>
        <w:noProof/>
        <w:lang w:val="en-US"/>
      </w:rPr>
      <w:t>Template 2021 - Template 2021 (Secretariat).docx</w:t>
    </w:r>
    <w:r w:rsidR="005E1512">
      <w:rPr>
        <w:lang w:val="en-US"/>
      </w:rPr>
      <w:fldChar w:fldCharType="end"/>
    </w:r>
  </w:p>
  <w:bookmarkEnd w:id="11"/>
  <w:p w14:paraId="60DBA409" w14:textId="6B78EA5E" w:rsidR="005E1512" w:rsidRPr="00DE73AA" w:rsidRDefault="005E1512" w:rsidP="005E1512">
    <w:pPr>
      <w:pStyle w:val="Footer"/>
      <w:pBdr>
        <w:top w:val="single" w:sz="4" w:space="1" w:color="auto"/>
      </w:pBdr>
      <w:jc w:val="right"/>
      <w:rPr>
        <w:lang w:val="fr-FR"/>
      </w:rPr>
    </w:pPr>
  </w:p>
  <w:p w14:paraId="15371DAE" w14:textId="77777777" w:rsidR="00390FFB" w:rsidRPr="005E1512" w:rsidRDefault="00390FFB" w:rsidP="005E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3C4C" w14:textId="77777777" w:rsidR="0010565A" w:rsidRDefault="0010565A">
      <w:r>
        <w:separator/>
      </w:r>
    </w:p>
  </w:footnote>
  <w:footnote w:type="continuationSeparator" w:id="0">
    <w:p w14:paraId="7F37C135" w14:textId="77777777" w:rsidR="0010565A" w:rsidRDefault="0010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06EC" w14:textId="11E12268" w:rsidR="008B3776" w:rsidRDefault="008B3776">
    <w:pPr>
      <w:pStyle w:val="Header"/>
    </w:pPr>
  </w:p>
  <w:p w14:paraId="78A75682" w14:textId="60AF7593" w:rsidR="008B3776" w:rsidRDefault="00736183">
    <w:pPr>
      <w:pStyle w:val="Header"/>
      <w:pBdr>
        <w:bottom w:val="single" w:sz="4" w:space="1" w:color="auto"/>
      </w:pBdr>
      <w:rPr>
        <w:rStyle w:val="PageNumber"/>
      </w:rPr>
    </w:pPr>
    <w:r>
      <w:t>P</w:t>
    </w:r>
    <w:r w:rsidR="008B3776">
      <w:t xml:space="preserve">age </w:t>
    </w:r>
    <w:r w:rsidR="008B3776">
      <w:rPr>
        <w:rStyle w:val="PageNumber"/>
      </w:rPr>
      <w:fldChar w:fldCharType="begin"/>
    </w:r>
    <w:r w:rsidR="008B3776">
      <w:rPr>
        <w:rStyle w:val="PageNumber"/>
      </w:rPr>
      <w:instrText xml:space="preserve"> PAGE </w:instrText>
    </w:r>
    <w:r w:rsidR="008B3776">
      <w:rPr>
        <w:rStyle w:val="PageNumber"/>
      </w:rPr>
      <w:fldChar w:fldCharType="separate"/>
    </w:r>
    <w:r w:rsidR="008B3776">
      <w:rPr>
        <w:rStyle w:val="PageNumber"/>
        <w:noProof/>
      </w:rPr>
      <w:t>2</w:t>
    </w:r>
    <w:r w:rsidR="008B3776">
      <w:rPr>
        <w:rStyle w:val="PageNumber"/>
      </w:rPr>
      <w:fldChar w:fldCharType="end"/>
    </w:r>
  </w:p>
  <w:p w14:paraId="46AEC412" w14:textId="77777777" w:rsidR="008B3776" w:rsidRDefault="008B3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1846" w14:textId="04F19FE4" w:rsidR="008B3776" w:rsidRDefault="008B3776">
    <w:pPr>
      <w:pStyle w:val="Header"/>
      <w:jc w:val="right"/>
    </w:pPr>
  </w:p>
  <w:p w14:paraId="5890F56B" w14:textId="020C0B97" w:rsidR="008B3776" w:rsidRDefault="00736183">
    <w:pPr>
      <w:pStyle w:val="Header"/>
      <w:pBdr>
        <w:bottom w:val="single" w:sz="4" w:space="1" w:color="auto"/>
      </w:pBdr>
      <w:jc w:val="right"/>
      <w:rPr>
        <w:rStyle w:val="PageNumber"/>
      </w:rPr>
    </w:pPr>
    <w:r>
      <w:t>P</w:t>
    </w:r>
    <w:r w:rsidR="008B3776">
      <w:t xml:space="preserve">age </w:t>
    </w:r>
    <w:r w:rsidR="008B3776">
      <w:rPr>
        <w:rStyle w:val="PageNumber"/>
      </w:rPr>
      <w:fldChar w:fldCharType="begin"/>
    </w:r>
    <w:r w:rsidR="008B3776">
      <w:rPr>
        <w:rStyle w:val="PageNumber"/>
      </w:rPr>
      <w:instrText xml:space="preserve"> PAGE </w:instrText>
    </w:r>
    <w:r w:rsidR="008B3776">
      <w:rPr>
        <w:rStyle w:val="PageNumber"/>
      </w:rPr>
      <w:fldChar w:fldCharType="separate"/>
    </w:r>
    <w:r w:rsidR="008B3776">
      <w:rPr>
        <w:rStyle w:val="PageNumber"/>
        <w:noProof/>
      </w:rPr>
      <w:t>1</w:t>
    </w:r>
    <w:r w:rsidR="008B3776">
      <w:rPr>
        <w:rStyle w:val="PageNumber"/>
      </w:rPr>
      <w:fldChar w:fldCharType="end"/>
    </w:r>
  </w:p>
  <w:p w14:paraId="4C23E85B" w14:textId="77777777" w:rsidR="008B3776" w:rsidRDefault="008B3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E6FF" w14:textId="3CD9FD8F" w:rsidR="00A15897" w:rsidRDefault="00A1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A20763"/>
    <w:multiLevelType w:val="hybridMultilevel"/>
    <w:tmpl w:val="1BA049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E370B0"/>
    <w:multiLevelType w:val="hybridMultilevel"/>
    <w:tmpl w:val="CD7C9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12ADF"/>
    <w:multiLevelType w:val="hybridMultilevel"/>
    <w:tmpl w:val="C0C872E6"/>
    <w:lvl w:ilvl="0" w:tplc="7870E3B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B7FB2"/>
    <w:multiLevelType w:val="hybridMultilevel"/>
    <w:tmpl w:val="60D2C060"/>
    <w:lvl w:ilvl="0" w:tplc="788625B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21C7A"/>
    <w:multiLevelType w:val="hybridMultilevel"/>
    <w:tmpl w:val="18C82524"/>
    <w:lvl w:ilvl="0" w:tplc="45CC26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11240"/>
    <w:multiLevelType w:val="hybridMultilevel"/>
    <w:tmpl w:val="8EFCBE54"/>
    <w:lvl w:ilvl="0" w:tplc="0BF0492A">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05008"/>
    <w:multiLevelType w:val="hybridMultilevel"/>
    <w:tmpl w:val="9F38D5F8"/>
    <w:lvl w:ilvl="0" w:tplc="1BD4E61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6946C4"/>
    <w:multiLevelType w:val="hybridMultilevel"/>
    <w:tmpl w:val="5AC84030"/>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760A3517"/>
    <w:multiLevelType w:val="hybridMultilevel"/>
    <w:tmpl w:val="63C6FDBA"/>
    <w:lvl w:ilvl="0" w:tplc="9D04424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4"/>
  </w:num>
  <w:num w:numId="9">
    <w:abstractNumId w:val="11"/>
  </w:num>
  <w:num w:numId="10">
    <w:abstractNumId w:val="12"/>
  </w:num>
  <w:num w:numId="11">
    <w:abstractNumId w:val="15"/>
  </w:num>
  <w:num w:numId="12">
    <w:abstractNumId w:val="9"/>
  </w:num>
  <w:num w:numId="13">
    <w:abstractNumId w:val="13"/>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
    <w:docVar w:name="AskAnnex" w:val="Yes"/>
    <w:docVar w:name="Div" w:val="  "/>
    <w:docVar w:name="SingleAnnex" w:val="No"/>
    <w:docVar w:name="Symbol" w:val="789"/>
  </w:docVars>
  <w:rsids>
    <w:rsidRoot w:val="00911084"/>
    <w:rsid w:val="00030E27"/>
    <w:rsid w:val="00037947"/>
    <w:rsid w:val="0005358B"/>
    <w:rsid w:val="00084364"/>
    <w:rsid w:val="000876C8"/>
    <w:rsid w:val="00091B36"/>
    <w:rsid w:val="00095FCD"/>
    <w:rsid w:val="00097160"/>
    <w:rsid w:val="0009734B"/>
    <w:rsid w:val="000A4632"/>
    <w:rsid w:val="000B0E61"/>
    <w:rsid w:val="000B182F"/>
    <w:rsid w:val="000B18B7"/>
    <w:rsid w:val="000C112C"/>
    <w:rsid w:val="000C118B"/>
    <w:rsid w:val="000C3E2F"/>
    <w:rsid w:val="000C5A06"/>
    <w:rsid w:val="000D2EF1"/>
    <w:rsid w:val="000D3636"/>
    <w:rsid w:val="000D4B99"/>
    <w:rsid w:val="000E40D7"/>
    <w:rsid w:val="000F20D8"/>
    <w:rsid w:val="0010565A"/>
    <w:rsid w:val="0011549B"/>
    <w:rsid w:val="00135842"/>
    <w:rsid w:val="00144E9F"/>
    <w:rsid w:val="0015312F"/>
    <w:rsid w:val="001761AD"/>
    <w:rsid w:val="00184467"/>
    <w:rsid w:val="001B07D0"/>
    <w:rsid w:val="001B6ACE"/>
    <w:rsid w:val="001C42BF"/>
    <w:rsid w:val="001D50F5"/>
    <w:rsid w:val="001F3D14"/>
    <w:rsid w:val="001F3D6C"/>
    <w:rsid w:val="00202603"/>
    <w:rsid w:val="00203A71"/>
    <w:rsid w:val="00216B69"/>
    <w:rsid w:val="0023599F"/>
    <w:rsid w:val="00243D28"/>
    <w:rsid w:val="00245368"/>
    <w:rsid w:val="00264BBA"/>
    <w:rsid w:val="00282569"/>
    <w:rsid w:val="002B0A3A"/>
    <w:rsid w:val="00301E20"/>
    <w:rsid w:val="0032412D"/>
    <w:rsid w:val="00345A10"/>
    <w:rsid w:val="0036384E"/>
    <w:rsid w:val="00364137"/>
    <w:rsid w:val="003660D6"/>
    <w:rsid w:val="00372957"/>
    <w:rsid w:val="003801D1"/>
    <w:rsid w:val="00381CAF"/>
    <w:rsid w:val="00382BAA"/>
    <w:rsid w:val="00390FFB"/>
    <w:rsid w:val="00393A1D"/>
    <w:rsid w:val="003B22BB"/>
    <w:rsid w:val="003C461E"/>
    <w:rsid w:val="003D2657"/>
    <w:rsid w:val="003D42BC"/>
    <w:rsid w:val="003F6737"/>
    <w:rsid w:val="003F7116"/>
    <w:rsid w:val="00433F7E"/>
    <w:rsid w:val="00442718"/>
    <w:rsid w:val="0044350C"/>
    <w:rsid w:val="00454E4E"/>
    <w:rsid w:val="00465C72"/>
    <w:rsid w:val="00482D09"/>
    <w:rsid w:val="00486ECD"/>
    <w:rsid w:val="004C6B53"/>
    <w:rsid w:val="004D528F"/>
    <w:rsid w:val="00507DA8"/>
    <w:rsid w:val="00511B48"/>
    <w:rsid w:val="00521AE7"/>
    <w:rsid w:val="00535E20"/>
    <w:rsid w:val="00544878"/>
    <w:rsid w:val="005461D0"/>
    <w:rsid w:val="0055409F"/>
    <w:rsid w:val="005545F4"/>
    <w:rsid w:val="00562520"/>
    <w:rsid w:val="00590CEE"/>
    <w:rsid w:val="00592438"/>
    <w:rsid w:val="0059706A"/>
    <w:rsid w:val="005A4424"/>
    <w:rsid w:val="005C524D"/>
    <w:rsid w:val="005E1512"/>
    <w:rsid w:val="005F3716"/>
    <w:rsid w:val="005F52CC"/>
    <w:rsid w:val="00624808"/>
    <w:rsid w:val="00630A78"/>
    <w:rsid w:val="00681339"/>
    <w:rsid w:val="006A4834"/>
    <w:rsid w:val="006B51AA"/>
    <w:rsid w:val="006D5EB2"/>
    <w:rsid w:val="006E4099"/>
    <w:rsid w:val="006E6A80"/>
    <w:rsid w:val="006F12F3"/>
    <w:rsid w:val="006F203A"/>
    <w:rsid w:val="007270C6"/>
    <w:rsid w:val="00731F3B"/>
    <w:rsid w:val="00736183"/>
    <w:rsid w:val="00742103"/>
    <w:rsid w:val="00752CA6"/>
    <w:rsid w:val="00757EF5"/>
    <w:rsid w:val="0076342B"/>
    <w:rsid w:val="00780995"/>
    <w:rsid w:val="007821FD"/>
    <w:rsid w:val="007B388D"/>
    <w:rsid w:val="007B59F4"/>
    <w:rsid w:val="007B73B7"/>
    <w:rsid w:val="007C0062"/>
    <w:rsid w:val="007C63BE"/>
    <w:rsid w:val="007E12B3"/>
    <w:rsid w:val="007F161B"/>
    <w:rsid w:val="007F2B8D"/>
    <w:rsid w:val="00801453"/>
    <w:rsid w:val="00804000"/>
    <w:rsid w:val="00820542"/>
    <w:rsid w:val="008312DC"/>
    <w:rsid w:val="00833D38"/>
    <w:rsid w:val="008624A3"/>
    <w:rsid w:val="00863568"/>
    <w:rsid w:val="008700F1"/>
    <w:rsid w:val="00875804"/>
    <w:rsid w:val="008A1BDB"/>
    <w:rsid w:val="008A33C5"/>
    <w:rsid w:val="008A3B40"/>
    <w:rsid w:val="008B3776"/>
    <w:rsid w:val="008C2933"/>
    <w:rsid w:val="008C4F58"/>
    <w:rsid w:val="008F4849"/>
    <w:rsid w:val="00900202"/>
    <w:rsid w:val="00911084"/>
    <w:rsid w:val="009248E6"/>
    <w:rsid w:val="009431D7"/>
    <w:rsid w:val="009517D7"/>
    <w:rsid w:val="00956855"/>
    <w:rsid w:val="0095770E"/>
    <w:rsid w:val="00970A3C"/>
    <w:rsid w:val="00985F2E"/>
    <w:rsid w:val="0099195D"/>
    <w:rsid w:val="009B11C3"/>
    <w:rsid w:val="009E2315"/>
    <w:rsid w:val="009F1DA8"/>
    <w:rsid w:val="009F4662"/>
    <w:rsid w:val="009F4D26"/>
    <w:rsid w:val="009F6DF3"/>
    <w:rsid w:val="00A06104"/>
    <w:rsid w:val="00A150F7"/>
    <w:rsid w:val="00A15897"/>
    <w:rsid w:val="00A527BA"/>
    <w:rsid w:val="00A63000"/>
    <w:rsid w:val="00A761FA"/>
    <w:rsid w:val="00A85698"/>
    <w:rsid w:val="00A96D50"/>
    <w:rsid w:val="00AC469E"/>
    <w:rsid w:val="00AE473B"/>
    <w:rsid w:val="00AE4DBA"/>
    <w:rsid w:val="00AF238F"/>
    <w:rsid w:val="00AF7303"/>
    <w:rsid w:val="00B110B5"/>
    <w:rsid w:val="00B129DA"/>
    <w:rsid w:val="00B15470"/>
    <w:rsid w:val="00B25297"/>
    <w:rsid w:val="00B272AE"/>
    <w:rsid w:val="00B47235"/>
    <w:rsid w:val="00B65AB4"/>
    <w:rsid w:val="00B679CA"/>
    <w:rsid w:val="00B716CD"/>
    <w:rsid w:val="00BA5296"/>
    <w:rsid w:val="00BB3CA6"/>
    <w:rsid w:val="00BC3BDA"/>
    <w:rsid w:val="00BD09A0"/>
    <w:rsid w:val="00BE10C2"/>
    <w:rsid w:val="00BF0577"/>
    <w:rsid w:val="00C01C5A"/>
    <w:rsid w:val="00C0429F"/>
    <w:rsid w:val="00C0671E"/>
    <w:rsid w:val="00C17157"/>
    <w:rsid w:val="00C254DA"/>
    <w:rsid w:val="00C503D1"/>
    <w:rsid w:val="00C63953"/>
    <w:rsid w:val="00C97A75"/>
    <w:rsid w:val="00CA1E1C"/>
    <w:rsid w:val="00CC53DC"/>
    <w:rsid w:val="00CC764D"/>
    <w:rsid w:val="00CE3455"/>
    <w:rsid w:val="00D10E97"/>
    <w:rsid w:val="00D173FE"/>
    <w:rsid w:val="00D22D8C"/>
    <w:rsid w:val="00D239B1"/>
    <w:rsid w:val="00D24B73"/>
    <w:rsid w:val="00D53F24"/>
    <w:rsid w:val="00D66444"/>
    <w:rsid w:val="00D711D7"/>
    <w:rsid w:val="00D80AC3"/>
    <w:rsid w:val="00D85163"/>
    <w:rsid w:val="00DA4F69"/>
    <w:rsid w:val="00DC42E0"/>
    <w:rsid w:val="00DD2A0C"/>
    <w:rsid w:val="00DD3F63"/>
    <w:rsid w:val="00DE73AA"/>
    <w:rsid w:val="00DF5652"/>
    <w:rsid w:val="00DF715E"/>
    <w:rsid w:val="00DF7757"/>
    <w:rsid w:val="00E11AB2"/>
    <w:rsid w:val="00E312DC"/>
    <w:rsid w:val="00E33627"/>
    <w:rsid w:val="00E451DB"/>
    <w:rsid w:val="00E47018"/>
    <w:rsid w:val="00E679BE"/>
    <w:rsid w:val="00E76039"/>
    <w:rsid w:val="00E85207"/>
    <w:rsid w:val="00E905E2"/>
    <w:rsid w:val="00EB4294"/>
    <w:rsid w:val="00EC7CC3"/>
    <w:rsid w:val="00ED5DA9"/>
    <w:rsid w:val="00EE51C3"/>
    <w:rsid w:val="00EF7125"/>
    <w:rsid w:val="00F05BF9"/>
    <w:rsid w:val="00F1608C"/>
    <w:rsid w:val="00F267C1"/>
    <w:rsid w:val="00F304B0"/>
    <w:rsid w:val="00F37B9A"/>
    <w:rsid w:val="00F41376"/>
    <w:rsid w:val="00F41638"/>
    <w:rsid w:val="00F471F6"/>
    <w:rsid w:val="00F61C2C"/>
    <w:rsid w:val="00F673C6"/>
    <w:rsid w:val="00F775EB"/>
    <w:rsid w:val="00F825B0"/>
    <w:rsid w:val="00F8311B"/>
    <w:rsid w:val="00FA2D59"/>
    <w:rsid w:val="00FB59A5"/>
    <w:rsid w:val="00FC5A18"/>
    <w:rsid w:val="00FD5226"/>
    <w:rsid w:val="00FF5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78F40"/>
  <w15:chartTrackingRefBased/>
  <w15:docId w15:val="{FC73323F-C33C-4784-9B5C-8EB7FB5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rPr>
      <w:rFonts w:ascii="Arial" w:hAnsi="Arial"/>
      <w:sz w:val="22"/>
      <w:vertAlign w:val="superscript"/>
    </w:rPr>
  </w:style>
  <w:style w:type="paragraph" w:styleId="FootnoteText">
    <w:name w:val="footnote text"/>
    <w:basedOn w:val="Normal"/>
    <w:pPr>
      <w:tabs>
        <w:tab w:val="clear" w:pos="851"/>
        <w:tab w:val="left" w:pos="567"/>
      </w:tabs>
      <w:ind w:left="567" w:hanging="567"/>
    </w:pPr>
    <w:rPr>
      <w:sz w:val="18"/>
    </w:rPr>
  </w:style>
  <w:style w:type="character" w:customStyle="1" w:styleId="FooterChar">
    <w:name w:val="Footer Char"/>
    <w:basedOn w:val="DefaultParagraphFont"/>
    <w:link w:val="Footer"/>
    <w:rsid w:val="00630A78"/>
    <w:rPr>
      <w:rFonts w:ascii="Arial" w:hAnsi="Arial"/>
      <w:sz w:val="18"/>
      <w:lang w:eastAsia="en-US"/>
    </w:rPr>
  </w:style>
  <w:style w:type="paragraph" w:styleId="ListParagraph">
    <w:name w:val="List Paragraph"/>
    <w:basedOn w:val="Normal"/>
    <w:uiPriority w:val="34"/>
    <w:qFormat/>
    <w:rsid w:val="0005358B"/>
    <w:pPr>
      <w:ind w:left="720"/>
      <w:contextualSpacing/>
    </w:pPr>
  </w:style>
  <w:style w:type="character" w:styleId="CommentReference">
    <w:name w:val="annotation reference"/>
    <w:basedOn w:val="DefaultParagraphFont"/>
    <w:uiPriority w:val="99"/>
    <w:semiHidden/>
    <w:unhideWhenUsed/>
    <w:rsid w:val="00A761FA"/>
    <w:rPr>
      <w:sz w:val="16"/>
      <w:szCs w:val="16"/>
    </w:rPr>
  </w:style>
  <w:style w:type="paragraph" w:styleId="CommentText">
    <w:name w:val="annotation text"/>
    <w:basedOn w:val="Normal"/>
    <w:link w:val="CommentTextChar"/>
    <w:uiPriority w:val="99"/>
    <w:semiHidden/>
    <w:unhideWhenUsed/>
    <w:rsid w:val="00A761FA"/>
    <w:rPr>
      <w:sz w:val="20"/>
    </w:rPr>
  </w:style>
  <w:style w:type="character" w:customStyle="1" w:styleId="CommentTextChar">
    <w:name w:val="Comment Text Char"/>
    <w:basedOn w:val="DefaultParagraphFont"/>
    <w:link w:val="CommentText"/>
    <w:uiPriority w:val="99"/>
    <w:semiHidden/>
    <w:rsid w:val="00A761F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761FA"/>
    <w:rPr>
      <w:b/>
      <w:bCs/>
    </w:rPr>
  </w:style>
  <w:style w:type="character" w:customStyle="1" w:styleId="CommentSubjectChar">
    <w:name w:val="Comment Subject Char"/>
    <w:basedOn w:val="CommentTextChar"/>
    <w:link w:val="CommentSubject"/>
    <w:uiPriority w:val="99"/>
    <w:semiHidden/>
    <w:rsid w:val="00A761FA"/>
    <w:rPr>
      <w:rFonts w:ascii="Arial" w:hAnsi="Arial"/>
      <w:b/>
      <w:bCs/>
      <w:lang w:eastAsia="en-US"/>
    </w:rPr>
  </w:style>
  <w:style w:type="character" w:styleId="Hyperlink">
    <w:name w:val="Hyperlink"/>
    <w:basedOn w:val="DefaultParagraphFont"/>
    <w:uiPriority w:val="99"/>
    <w:unhideWhenUsed/>
    <w:rsid w:val="008C2933"/>
    <w:rPr>
      <w:color w:val="0563C1" w:themeColor="hyperlink"/>
      <w:u w:val="single"/>
    </w:rPr>
  </w:style>
  <w:style w:type="character" w:styleId="UnresolvedMention">
    <w:name w:val="Unresolved Mention"/>
    <w:basedOn w:val="DefaultParagraphFont"/>
    <w:uiPriority w:val="99"/>
    <w:semiHidden/>
    <w:unhideWhenUsed/>
    <w:rsid w:val="008C2933"/>
    <w:rPr>
      <w:color w:val="605E5C"/>
      <w:shd w:val="clear" w:color="auto" w:fill="E1DFDD"/>
    </w:rPr>
  </w:style>
  <w:style w:type="paragraph" w:styleId="Revision">
    <w:name w:val="Revision"/>
    <w:hidden/>
    <w:uiPriority w:val="99"/>
    <w:semiHidden/>
    <w:rsid w:val="00E33627"/>
    <w:rPr>
      <w:rFonts w:ascii="Arial" w:hAnsi="Arial"/>
      <w:sz w:val="22"/>
      <w:lang w:eastAsia="en-US"/>
    </w:rPr>
  </w:style>
  <w:style w:type="character" w:styleId="FollowedHyperlink">
    <w:name w:val="FollowedHyperlink"/>
    <w:basedOn w:val="DefaultParagraphFont"/>
    <w:uiPriority w:val="99"/>
    <w:semiHidden/>
    <w:unhideWhenUsed/>
    <w:rsid w:val="00216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756903825">
      <w:bodyDiv w:val="1"/>
      <w:marLeft w:val="0"/>
      <w:marRight w:val="0"/>
      <w:marTop w:val="0"/>
      <w:marBottom w:val="0"/>
      <w:divBdr>
        <w:top w:val="none" w:sz="0" w:space="0" w:color="auto"/>
        <w:left w:val="none" w:sz="0" w:space="0" w:color="auto"/>
        <w:bottom w:val="none" w:sz="0" w:space="0" w:color="auto"/>
        <w:right w:val="none" w:sz="0" w:space="0" w:color="auto"/>
      </w:divBdr>
    </w:div>
    <w:div w:id="1224681897">
      <w:bodyDiv w:val="1"/>
      <w:marLeft w:val="0"/>
      <w:marRight w:val="0"/>
      <w:marTop w:val="0"/>
      <w:marBottom w:val="0"/>
      <w:divBdr>
        <w:top w:val="none" w:sz="0" w:space="0" w:color="auto"/>
        <w:left w:val="none" w:sz="0" w:space="0" w:color="auto"/>
        <w:bottom w:val="none" w:sz="0" w:space="0" w:color="auto"/>
        <w:right w:val="none" w:sz="0" w:space="0" w:color="auto"/>
      </w:divBdr>
      <w:divsChild>
        <w:div w:id="174471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099399">
              <w:marLeft w:val="0"/>
              <w:marRight w:val="0"/>
              <w:marTop w:val="0"/>
              <w:marBottom w:val="0"/>
              <w:divBdr>
                <w:top w:val="none" w:sz="0" w:space="0" w:color="auto"/>
                <w:left w:val="none" w:sz="0" w:space="0" w:color="auto"/>
                <w:bottom w:val="none" w:sz="0" w:space="0" w:color="auto"/>
                <w:right w:val="none" w:sz="0" w:space="0" w:color="auto"/>
              </w:divBdr>
              <w:divsChild>
                <w:div w:id="12415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 w:id="17057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endering.ted.europa.eu/document/document-file-download.html?docFileId=107786"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026A-EB12-4BD8-88A6-F61F8B6C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1566</Words>
  <Characters>8932</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Georgios.Charalampidis@ics-shipping.org</dc:creator>
  <cp:keywords/>
  <cp:lastModifiedBy>Tanya Blake</cp:lastModifiedBy>
  <cp:revision>2</cp:revision>
  <dcterms:created xsi:type="dcterms:W3CDTF">2022-01-13T10:47:00Z</dcterms:created>
  <dcterms:modified xsi:type="dcterms:W3CDTF">2022-01-13T10:47:00Z</dcterms:modified>
</cp:coreProperties>
</file>