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25" w:type="dxa"/>
        <w:jc w:val="center"/>
        <w:tblBorders>
          <w:insideH w:val="single" w:sz="4" w:space="0" w:color="auto"/>
          <w:insideV w:val="single" w:sz="4" w:space="0" w:color="auto"/>
        </w:tblBorders>
        <w:tblLook w:val="01E0" w:firstRow="1" w:lastRow="1" w:firstColumn="1" w:lastColumn="1" w:noHBand="0" w:noVBand="0"/>
      </w:tblPr>
      <w:tblGrid>
        <w:gridCol w:w="2667"/>
        <w:gridCol w:w="4061"/>
        <w:gridCol w:w="2297"/>
      </w:tblGrid>
      <w:tr w:rsidR="00911084" w:rsidRPr="00CF4C72" w14:paraId="4D88ABBC" w14:textId="77777777">
        <w:trPr>
          <w:trHeight w:val="1287"/>
          <w:jc w:val="center"/>
        </w:trPr>
        <w:tc>
          <w:tcPr>
            <w:tcW w:w="2667" w:type="dxa"/>
            <w:tcBorders>
              <w:top w:val="nil"/>
              <w:bottom w:val="nil"/>
              <w:right w:val="nil"/>
            </w:tcBorders>
            <w:hideMark/>
          </w:tcPr>
          <w:p w14:paraId="31C7BB01" w14:textId="5CC44C1D" w:rsidR="00911084" w:rsidRPr="00CF4C72" w:rsidRDefault="001C42BF" w:rsidP="00371D32">
            <w:pPr>
              <w:pStyle w:val="Heading3"/>
              <w:rPr>
                <w:color w:val="000000" w:themeColor="text1"/>
              </w:rPr>
            </w:pPr>
            <w:r w:rsidRPr="00CF4C72">
              <w:rPr>
                <w:noProof/>
                <w:color w:val="000000" w:themeColor="text1"/>
                <w:lang w:eastAsia="en-GB"/>
              </w:rPr>
              <mc:AlternateContent>
                <mc:Choice Requires="wps">
                  <w:drawing>
                    <wp:anchor distT="0" distB="0" distL="114300" distR="114300" simplePos="0" relativeHeight="251658240" behindDoc="0" locked="0" layoutInCell="1" allowOverlap="1" wp14:anchorId="77A31569" wp14:editId="467950FC">
                      <wp:simplePos x="0" y="0"/>
                      <wp:positionH relativeFrom="column">
                        <wp:posOffset>-82550</wp:posOffset>
                      </wp:positionH>
                      <wp:positionV relativeFrom="paragraph">
                        <wp:posOffset>621030</wp:posOffset>
                      </wp:positionV>
                      <wp:extent cx="575691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6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4A05C" id="Straight Connecto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8.9pt" to="446.8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"/>
                  </w:pict>
                </mc:Fallback>
              </mc:AlternateContent>
            </w:r>
          </w:p>
        </w:tc>
        <w:tc>
          <w:tcPr>
            <w:tcW w:w="4061" w:type="dxa"/>
            <w:tcBorders>
              <w:left w:val="nil"/>
              <w:right w:val="nil"/>
            </w:tcBorders>
            <w:hideMark/>
          </w:tcPr>
          <w:p w14:paraId="565DF558" w14:textId="77777777" w:rsidR="00911084" w:rsidRPr="00CF4C72" w:rsidRDefault="001C42BF">
            <w:pPr>
              <w:jc w:val="left"/>
              <w:rPr>
                <w:color w:val="000000" w:themeColor="text1"/>
              </w:rPr>
            </w:pPr>
            <w:r w:rsidRPr="00CF4C72">
              <w:rPr>
                <w:noProof/>
                <w:color w:val="000000" w:themeColor="text1"/>
                <w:lang w:eastAsia="en-GB"/>
              </w:rPr>
              <w:drawing>
                <wp:inline distT="0" distB="0" distL="0" distR="0" wp14:anchorId="3724A67E" wp14:editId="14140C8A">
                  <wp:extent cx="2441575" cy="707390"/>
                  <wp:effectExtent l="0" t="0" r="0" b="0"/>
                  <wp:docPr id="1" name="Picture 1" descr="IMO-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O-logo-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1575" cy="707390"/>
                          </a:xfrm>
                          <a:prstGeom prst="rect">
                            <a:avLst/>
                          </a:prstGeom>
                          <a:noFill/>
                          <a:ln>
                            <a:noFill/>
                          </a:ln>
                        </pic:spPr>
                      </pic:pic>
                    </a:graphicData>
                  </a:graphic>
                </wp:inline>
              </w:drawing>
            </w:r>
          </w:p>
        </w:tc>
        <w:tc>
          <w:tcPr>
            <w:tcW w:w="2297" w:type="dxa"/>
            <w:tcBorders>
              <w:top w:val="nil"/>
              <w:left w:val="nil"/>
              <w:bottom w:val="nil"/>
            </w:tcBorders>
            <w:hideMark/>
          </w:tcPr>
          <w:p w14:paraId="6D9A24F5" w14:textId="77777777" w:rsidR="00911084" w:rsidRPr="00CF4C72" w:rsidRDefault="001C42BF">
            <w:pPr>
              <w:jc w:val="right"/>
              <w:rPr>
                <w:color w:val="000000" w:themeColor="text1"/>
              </w:rPr>
            </w:pPr>
            <w:r w:rsidRPr="00CF4C72">
              <w:rPr>
                <w:b/>
                <w:i/>
                <w:color w:val="000000" w:themeColor="text1"/>
                <w:sz w:val="48"/>
                <w:szCs w:val="48"/>
              </w:rPr>
              <w:t>E</w:t>
            </w:r>
          </w:p>
        </w:tc>
      </w:tr>
    </w:tbl>
    <w:p w14:paraId="0F313852" w14:textId="0A3FFCEF" w:rsidR="00911084" w:rsidRPr="002E14D1" w:rsidRDefault="00911084">
      <w:pPr>
        <w:rPr>
          <w:color w:val="FF0000"/>
        </w:rPr>
      </w:pPr>
      <w:bookmarkStart w:id="0" w:name="headings"/>
      <w:bookmarkEnd w:id="0"/>
    </w:p>
    <w:tbl>
      <w:tblPr>
        <w:tblW w:w="9157" w:type="dxa"/>
        <w:jc w:val="center"/>
        <w:tblLayout w:type="fixed"/>
        <w:tblCellMar>
          <w:left w:w="60" w:type="dxa"/>
          <w:right w:w="60" w:type="dxa"/>
        </w:tblCellMar>
        <w:tblLook w:val="0000" w:firstRow="0" w:lastRow="0" w:firstColumn="0" w:lastColumn="0" w:noHBand="0" w:noVBand="0"/>
      </w:tblPr>
      <w:tblGrid>
        <w:gridCol w:w="4692"/>
        <w:gridCol w:w="4465"/>
      </w:tblGrid>
      <w:tr w:rsidR="00CF4C72" w:rsidRPr="00CF4C72" w14:paraId="4E4FEBB4" w14:textId="77777777">
        <w:trPr>
          <w:jc w:val="center"/>
        </w:trPr>
        <w:tc>
          <w:tcPr>
            <w:tcW w:w="4692" w:type="dxa"/>
          </w:tcPr>
          <w:p w14:paraId="6E4A6047" w14:textId="77777777" w:rsidR="00911084" w:rsidRPr="00CF4C72" w:rsidRDefault="00911084" w:rsidP="006E7918">
            <w:pPr>
              <w:spacing w:line="120" w:lineRule="exact"/>
              <w:jc w:val="left"/>
              <w:rPr>
                <w:color w:val="000000" w:themeColor="text1"/>
              </w:rPr>
            </w:pPr>
            <w:bookmarkStart w:id="1" w:name="sub_committee"/>
            <w:bookmarkEnd w:id="1"/>
          </w:p>
          <w:p w14:paraId="497F40E3" w14:textId="6DD087DE" w:rsidR="00FD53BD" w:rsidRPr="00CF4C72" w:rsidRDefault="00FD53BD" w:rsidP="006E7918">
            <w:pPr>
              <w:jc w:val="left"/>
              <w:rPr>
                <w:rFonts w:cs="Arial"/>
                <w:color w:val="000000" w:themeColor="text1"/>
                <w:szCs w:val="22"/>
              </w:rPr>
            </w:pPr>
            <w:r w:rsidRPr="00CF4C72">
              <w:rPr>
                <w:rFonts w:cs="Arial"/>
                <w:color w:val="000000" w:themeColor="text1"/>
                <w:szCs w:val="22"/>
              </w:rPr>
              <w:t>INTERSESSIONA</w:t>
            </w:r>
            <w:r w:rsidR="0008466E" w:rsidRPr="00CF4C72">
              <w:rPr>
                <w:rFonts w:cs="Arial"/>
                <w:color w:val="000000" w:themeColor="text1"/>
                <w:szCs w:val="22"/>
              </w:rPr>
              <w:t xml:space="preserve">L </w:t>
            </w:r>
            <w:r w:rsidRPr="00CF4C72">
              <w:rPr>
                <w:rFonts w:cs="Arial"/>
                <w:color w:val="000000" w:themeColor="text1"/>
                <w:szCs w:val="22"/>
              </w:rPr>
              <w:t>MEETING</w:t>
            </w:r>
            <w:r w:rsidR="0008466E" w:rsidRPr="00CF4C72">
              <w:rPr>
                <w:rFonts w:cs="Arial"/>
                <w:color w:val="000000" w:themeColor="text1"/>
                <w:szCs w:val="22"/>
              </w:rPr>
              <w:t xml:space="preserve"> </w:t>
            </w:r>
            <w:r w:rsidRPr="00CF4C72">
              <w:rPr>
                <w:rFonts w:cs="Arial"/>
                <w:color w:val="000000" w:themeColor="text1"/>
                <w:szCs w:val="22"/>
              </w:rPr>
              <w:t>OF</w:t>
            </w:r>
            <w:r w:rsidR="0008466E" w:rsidRPr="00CF4C72">
              <w:rPr>
                <w:rFonts w:cs="Arial"/>
                <w:color w:val="000000" w:themeColor="text1"/>
                <w:szCs w:val="22"/>
              </w:rPr>
              <w:t xml:space="preserve"> </w:t>
            </w:r>
            <w:r w:rsidRPr="00CF4C72">
              <w:rPr>
                <w:rFonts w:cs="Arial"/>
                <w:color w:val="000000" w:themeColor="text1"/>
                <w:szCs w:val="22"/>
              </w:rPr>
              <w:t xml:space="preserve">THE WORKING GROUP ON REDUCTION OF GHG EMISSIONS FROM SHIPS </w:t>
            </w:r>
          </w:p>
          <w:p w14:paraId="31E91563" w14:textId="5D39C1B1" w:rsidR="00FD53BD" w:rsidRPr="00CF4C72" w:rsidRDefault="00173D2E" w:rsidP="006E7918">
            <w:pPr>
              <w:jc w:val="left"/>
              <w:rPr>
                <w:rFonts w:cs="Arial"/>
                <w:color w:val="000000" w:themeColor="text1"/>
              </w:rPr>
            </w:pPr>
            <w:r w:rsidRPr="00CF4C72">
              <w:rPr>
                <w:rFonts w:cs="Arial"/>
                <w:color w:val="000000" w:themeColor="text1"/>
              </w:rPr>
              <w:t>1</w:t>
            </w:r>
            <w:r w:rsidR="005E3BA2">
              <w:rPr>
                <w:rFonts w:cs="Arial"/>
                <w:color w:val="000000" w:themeColor="text1"/>
              </w:rPr>
              <w:t>6</w:t>
            </w:r>
            <w:r w:rsidR="00FD53BD" w:rsidRPr="00CF4C72">
              <w:rPr>
                <w:rFonts w:cs="Arial"/>
                <w:color w:val="000000" w:themeColor="text1"/>
              </w:rPr>
              <w:t xml:space="preserve">th session </w:t>
            </w:r>
          </w:p>
          <w:p w14:paraId="55260FC2" w14:textId="3F806893" w:rsidR="00911084" w:rsidRPr="00CF4C72" w:rsidRDefault="001C42BF" w:rsidP="006E7918">
            <w:pPr>
              <w:spacing w:after="58"/>
              <w:jc w:val="left"/>
              <w:rPr>
                <w:color w:val="000000" w:themeColor="text1"/>
              </w:rPr>
            </w:pPr>
            <w:bookmarkStart w:id="2" w:name="session"/>
            <w:bookmarkEnd w:id="2"/>
            <w:r w:rsidRPr="00CF4C72">
              <w:rPr>
                <w:color w:val="000000" w:themeColor="text1"/>
              </w:rPr>
              <w:t xml:space="preserve">Agenda item </w:t>
            </w:r>
            <w:bookmarkStart w:id="3" w:name="agenda"/>
            <w:bookmarkEnd w:id="3"/>
            <w:r w:rsidR="00393EC5">
              <w:rPr>
                <w:color w:val="000000" w:themeColor="text1"/>
              </w:rPr>
              <w:t>2</w:t>
            </w:r>
          </w:p>
          <w:p w14:paraId="6C1EF39A" w14:textId="0CAAD8B7" w:rsidR="00FB184C" w:rsidRPr="00CF4C72" w:rsidRDefault="00FB184C" w:rsidP="00D52351">
            <w:pPr>
              <w:spacing w:after="58"/>
              <w:rPr>
                <w:color w:val="000000" w:themeColor="text1"/>
              </w:rPr>
            </w:pPr>
          </w:p>
        </w:tc>
        <w:tc>
          <w:tcPr>
            <w:tcW w:w="4465" w:type="dxa"/>
          </w:tcPr>
          <w:p w14:paraId="7A745C58" w14:textId="77777777" w:rsidR="00911084" w:rsidRPr="00CF4C72" w:rsidRDefault="00911084">
            <w:pPr>
              <w:spacing w:line="120" w:lineRule="exact"/>
              <w:jc w:val="right"/>
              <w:rPr>
                <w:color w:val="000000" w:themeColor="text1"/>
              </w:rPr>
            </w:pPr>
          </w:p>
          <w:p w14:paraId="5D07907B" w14:textId="5AFF29E5" w:rsidR="00911084" w:rsidRPr="00CF4C72" w:rsidRDefault="006E7918">
            <w:pPr>
              <w:tabs>
                <w:tab w:val="clear" w:pos="851"/>
              </w:tabs>
              <w:jc w:val="right"/>
              <w:rPr>
                <w:color w:val="000000" w:themeColor="text1"/>
              </w:rPr>
            </w:pPr>
            <w:bookmarkStart w:id="4" w:name="symbol"/>
            <w:bookmarkEnd w:id="4"/>
            <w:r w:rsidRPr="00CF4C72">
              <w:rPr>
                <w:color w:val="000000" w:themeColor="text1"/>
              </w:rPr>
              <w:t>ISWG</w:t>
            </w:r>
            <w:r w:rsidR="00D80A22" w:rsidRPr="00CF4C72">
              <w:rPr>
                <w:color w:val="000000" w:themeColor="text1"/>
              </w:rPr>
              <w:t>-GHG 1</w:t>
            </w:r>
            <w:r w:rsidR="008A5889">
              <w:rPr>
                <w:color w:val="000000" w:themeColor="text1"/>
              </w:rPr>
              <w:t>6</w:t>
            </w:r>
            <w:r w:rsidR="00A630FA" w:rsidRPr="00CF4C72">
              <w:rPr>
                <w:color w:val="000000" w:themeColor="text1"/>
              </w:rPr>
              <w:t>/</w:t>
            </w:r>
            <w:r w:rsidR="000F5157">
              <w:rPr>
                <w:color w:val="000000" w:themeColor="text1"/>
              </w:rPr>
              <w:t>2</w:t>
            </w:r>
          </w:p>
          <w:p w14:paraId="063EA9E9" w14:textId="008F6862" w:rsidR="00911084" w:rsidRPr="00CF4C72" w:rsidRDefault="00472A4A" w:rsidP="00CC53DC">
            <w:pPr>
              <w:tabs>
                <w:tab w:val="clear" w:pos="851"/>
              </w:tabs>
              <w:jc w:val="right"/>
              <w:rPr>
                <w:color w:val="000000" w:themeColor="text1"/>
              </w:rPr>
            </w:pPr>
            <w:bookmarkStart w:id="5" w:name="date"/>
            <w:bookmarkEnd w:id="5"/>
            <w:r w:rsidRPr="00CF4C72">
              <w:rPr>
                <w:color w:val="000000" w:themeColor="text1"/>
              </w:rPr>
              <w:t>XX</w:t>
            </w:r>
            <w:r w:rsidR="0077401E">
              <w:rPr>
                <w:color w:val="000000" w:themeColor="text1"/>
              </w:rPr>
              <w:t xml:space="preserve"> November</w:t>
            </w:r>
            <w:r w:rsidR="001C42BF" w:rsidRPr="00CF4C72">
              <w:rPr>
                <w:color w:val="000000" w:themeColor="text1"/>
              </w:rPr>
              <w:t xml:space="preserve"> 20</w:t>
            </w:r>
            <w:r w:rsidR="00804000" w:rsidRPr="00CF4C72">
              <w:rPr>
                <w:color w:val="000000" w:themeColor="text1"/>
              </w:rPr>
              <w:t>2</w:t>
            </w:r>
            <w:r w:rsidR="00173D2E" w:rsidRPr="00CF4C72">
              <w:rPr>
                <w:color w:val="000000" w:themeColor="text1"/>
              </w:rPr>
              <w:t>3</w:t>
            </w:r>
          </w:p>
          <w:p w14:paraId="2D090059" w14:textId="7FC91AB7" w:rsidR="00911084" w:rsidRPr="00CF4C72" w:rsidRDefault="001C42BF">
            <w:pPr>
              <w:tabs>
                <w:tab w:val="clear" w:pos="851"/>
              </w:tabs>
              <w:spacing w:after="58"/>
              <w:ind w:left="-924"/>
              <w:jc w:val="right"/>
              <w:rPr>
                <w:color w:val="000000" w:themeColor="text1"/>
              </w:rPr>
            </w:pPr>
            <w:bookmarkStart w:id="6" w:name="language"/>
            <w:bookmarkEnd w:id="6"/>
            <w:r w:rsidRPr="00CF4C72">
              <w:rPr>
                <w:color w:val="000000" w:themeColor="text1"/>
              </w:rPr>
              <w:t>Original: ENGLISH</w:t>
            </w:r>
          </w:p>
          <w:p w14:paraId="4D5F32B8" w14:textId="16C532A1" w:rsidR="00DD2A0C" w:rsidRPr="00CF4C72" w:rsidRDefault="00DD2A0C">
            <w:pPr>
              <w:tabs>
                <w:tab w:val="clear" w:pos="851"/>
              </w:tabs>
              <w:spacing w:after="58"/>
              <w:ind w:left="-924"/>
              <w:jc w:val="right"/>
              <w:rPr>
                <w:color w:val="000000" w:themeColor="text1"/>
              </w:rPr>
            </w:pPr>
            <w:r w:rsidRPr="00CF4C72">
              <w:rPr>
                <w:color w:val="000000" w:themeColor="text1"/>
              </w:rPr>
              <w:t xml:space="preserve">Pre-session public release: </w:t>
            </w:r>
            <w:sdt>
              <w:sdtPr>
                <w:rPr>
                  <w:noProof/>
                  <w:color w:val="000000" w:themeColor="text1"/>
                  <w:lang w:eastAsia="en-GB"/>
                </w:rPr>
                <w:id w:val="497314832"/>
                <w14:checkbox>
                  <w14:checked w14:val="1"/>
                  <w14:checkedState w14:val="2612" w14:font="MS Gothic"/>
                  <w14:uncheckedState w14:val="2610" w14:font="MS Gothic"/>
                </w14:checkbox>
              </w:sdtPr>
              <w:sdtContent>
                <w:r w:rsidR="00A630FA" w:rsidRPr="00CF4C72">
                  <w:rPr>
                    <w:rFonts w:ascii="MS Gothic" w:eastAsia="MS Gothic" w:hAnsi="MS Gothic" w:hint="eastAsia"/>
                    <w:noProof/>
                    <w:color w:val="000000" w:themeColor="text1"/>
                    <w:lang w:eastAsia="en-GB"/>
                  </w:rPr>
                  <w:t>☒</w:t>
                </w:r>
              </w:sdtContent>
            </w:sdt>
          </w:p>
          <w:p w14:paraId="58299542" w14:textId="77777777" w:rsidR="00DD2A0C" w:rsidRPr="00CF4C72" w:rsidRDefault="00DD2A0C">
            <w:pPr>
              <w:tabs>
                <w:tab w:val="clear" w:pos="851"/>
              </w:tabs>
              <w:spacing w:after="58"/>
              <w:ind w:left="-924"/>
              <w:jc w:val="right"/>
              <w:rPr>
                <w:color w:val="000000" w:themeColor="text1"/>
              </w:rPr>
            </w:pPr>
          </w:p>
        </w:tc>
      </w:tr>
    </w:tbl>
    <w:p w14:paraId="514DCF8F" w14:textId="44719054" w:rsidR="00393EC5" w:rsidRPr="00393EC5" w:rsidRDefault="00393EC5" w:rsidP="00393EC5">
      <w:pPr>
        <w:tabs>
          <w:tab w:val="clear" w:pos="851"/>
        </w:tabs>
        <w:jc w:val="center"/>
        <w:rPr>
          <w:rFonts w:cs="Arial"/>
          <w:b/>
          <w:bCs/>
          <w:caps/>
          <w:color w:val="000000" w:themeColor="text1"/>
          <w:sz w:val="24"/>
          <w:szCs w:val="24"/>
        </w:rPr>
      </w:pPr>
      <w:r w:rsidRPr="00393EC5">
        <w:rPr>
          <w:rFonts w:cs="Arial"/>
          <w:b/>
          <w:bCs/>
          <w:caps/>
          <w:color w:val="000000" w:themeColor="text1"/>
          <w:sz w:val="24"/>
          <w:szCs w:val="24"/>
        </w:rPr>
        <w:t xml:space="preserve">Further consideration of the development of candidate </w:t>
      </w:r>
      <w:r>
        <w:rPr>
          <w:rFonts w:cs="Arial"/>
          <w:b/>
          <w:bCs/>
          <w:caps/>
          <w:color w:val="000000" w:themeColor="text1"/>
          <w:sz w:val="24"/>
          <w:szCs w:val="24"/>
        </w:rPr>
        <w:br/>
      </w:r>
      <w:r w:rsidRPr="00393EC5">
        <w:rPr>
          <w:rFonts w:cs="Arial"/>
          <w:b/>
          <w:bCs/>
          <w:caps/>
          <w:color w:val="000000" w:themeColor="text1"/>
          <w:sz w:val="24"/>
          <w:szCs w:val="24"/>
        </w:rPr>
        <w:t>mid-term measure(s) in the context of Phase III of the Work plan for the development of mid- and long-term measures</w:t>
      </w:r>
    </w:p>
    <w:p w14:paraId="1BCEE542" w14:textId="77777777" w:rsidR="00D77420" w:rsidRPr="00CF4C72" w:rsidRDefault="00D77420">
      <w:pPr>
        <w:tabs>
          <w:tab w:val="clear" w:pos="851"/>
        </w:tabs>
        <w:jc w:val="center"/>
        <w:rPr>
          <w:b/>
          <w:color w:val="000000" w:themeColor="text1"/>
        </w:rPr>
      </w:pPr>
    </w:p>
    <w:p w14:paraId="4DF9774F" w14:textId="061AC62E" w:rsidR="00A630FA" w:rsidRPr="00A053BF" w:rsidRDefault="00A053BF" w:rsidP="00A053BF">
      <w:pPr>
        <w:jc w:val="center"/>
        <w:rPr>
          <w:rFonts w:cs="Arial"/>
          <w:b/>
          <w:color w:val="000000" w:themeColor="text1"/>
          <w:szCs w:val="22"/>
        </w:rPr>
      </w:pPr>
      <w:bookmarkStart w:id="7" w:name="_Hlk123914573"/>
      <w:r>
        <w:rPr>
          <w:rFonts w:cs="Arial"/>
          <w:b/>
          <w:color w:val="000000" w:themeColor="text1"/>
          <w:szCs w:val="22"/>
        </w:rPr>
        <w:t xml:space="preserve"> </w:t>
      </w:r>
      <w:r w:rsidR="00A97624">
        <w:rPr>
          <w:rFonts w:cs="Arial"/>
          <w:b/>
          <w:color w:val="000000" w:themeColor="text1"/>
          <w:szCs w:val="22"/>
        </w:rPr>
        <w:t>R</w:t>
      </w:r>
      <w:r w:rsidR="00BA5AAC">
        <w:rPr>
          <w:rFonts w:cs="Arial"/>
          <w:b/>
          <w:color w:val="000000" w:themeColor="text1"/>
          <w:szCs w:val="22"/>
        </w:rPr>
        <w:t>evised</w:t>
      </w:r>
      <w:r w:rsidR="00BA5AAC" w:rsidRPr="00CF4C72">
        <w:rPr>
          <w:rFonts w:cs="Arial"/>
          <w:b/>
          <w:color w:val="000000" w:themeColor="text1"/>
          <w:szCs w:val="22"/>
        </w:rPr>
        <w:t xml:space="preserve"> </w:t>
      </w:r>
      <w:r w:rsidR="00A97624">
        <w:rPr>
          <w:rFonts w:cs="Arial"/>
          <w:b/>
          <w:color w:val="000000" w:themeColor="text1"/>
          <w:szCs w:val="22"/>
        </w:rPr>
        <w:t xml:space="preserve">possible </w:t>
      </w:r>
      <w:r w:rsidR="0039023D" w:rsidRPr="00CF4C72">
        <w:rPr>
          <w:rFonts w:cs="Arial"/>
          <w:b/>
          <w:color w:val="000000" w:themeColor="text1"/>
          <w:szCs w:val="22"/>
        </w:rPr>
        <w:t>draft</w:t>
      </w:r>
      <w:r w:rsidR="00997A86" w:rsidRPr="00CF4C72">
        <w:rPr>
          <w:rFonts w:cs="Arial"/>
          <w:b/>
          <w:color w:val="000000" w:themeColor="text1"/>
          <w:szCs w:val="22"/>
        </w:rPr>
        <w:t xml:space="preserve"> amendments to MARPOL Annex VI to implement </w:t>
      </w:r>
      <w:r w:rsidR="00B717C5" w:rsidRPr="00CF4C72">
        <w:rPr>
          <w:rFonts w:cs="Arial"/>
          <w:b/>
          <w:color w:val="000000" w:themeColor="text1"/>
          <w:szCs w:val="22"/>
        </w:rPr>
        <w:t>a</w:t>
      </w:r>
      <w:r w:rsidR="00A630FA" w:rsidRPr="00CF4C72">
        <w:rPr>
          <w:rFonts w:cs="Arial"/>
          <w:b/>
          <w:color w:val="000000" w:themeColor="text1"/>
          <w:szCs w:val="22"/>
        </w:rPr>
        <w:t xml:space="preserve"> </w:t>
      </w:r>
      <w:r w:rsidR="00393EC5">
        <w:rPr>
          <w:rFonts w:cs="Arial"/>
          <w:b/>
          <w:color w:val="000000" w:themeColor="text1"/>
          <w:szCs w:val="22"/>
        </w:rPr>
        <w:t xml:space="preserve">simplified </w:t>
      </w:r>
      <w:r w:rsidR="00472A4A" w:rsidRPr="00CF4C72">
        <w:rPr>
          <w:rFonts w:cs="Arial"/>
          <w:b/>
          <w:color w:val="000000" w:themeColor="text1"/>
          <w:szCs w:val="22"/>
        </w:rPr>
        <w:t>Global GHG Fuel Standard</w:t>
      </w:r>
      <w:r w:rsidR="00100578" w:rsidRPr="00CF4C72">
        <w:rPr>
          <w:rFonts w:cs="Arial"/>
          <w:b/>
          <w:color w:val="000000" w:themeColor="text1"/>
          <w:szCs w:val="22"/>
        </w:rPr>
        <w:t xml:space="preserve"> </w:t>
      </w:r>
      <w:r w:rsidR="00F80B83">
        <w:rPr>
          <w:rFonts w:cs="Arial"/>
          <w:b/>
          <w:color w:val="000000" w:themeColor="text1"/>
          <w:szCs w:val="22"/>
        </w:rPr>
        <w:t xml:space="preserve">(GFS) </w:t>
      </w:r>
      <w:r w:rsidR="00FB5292">
        <w:rPr>
          <w:rFonts w:cs="Arial"/>
          <w:b/>
          <w:color w:val="000000" w:themeColor="text1"/>
          <w:szCs w:val="22"/>
        </w:rPr>
        <w:t xml:space="preserve">with </w:t>
      </w:r>
      <w:r w:rsidR="00380255">
        <w:rPr>
          <w:rFonts w:cs="Arial"/>
          <w:b/>
          <w:color w:val="000000" w:themeColor="text1"/>
          <w:szCs w:val="22"/>
        </w:rPr>
        <w:t xml:space="preserve">an </w:t>
      </w:r>
      <w:r w:rsidR="003F0445" w:rsidRPr="00675BC5">
        <w:rPr>
          <w:b/>
          <w:bCs/>
          <w:color w:val="000000" w:themeColor="text1"/>
        </w:rPr>
        <w:t>energy pooling compliance mechanism</w:t>
      </w:r>
    </w:p>
    <w:bookmarkEnd w:id="7"/>
    <w:p w14:paraId="1AF8164B" w14:textId="77777777" w:rsidR="00F41638" w:rsidRPr="003F0445" w:rsidRDefault="00F41638">
      <w:pPr>
        <w:tabs>
          <w:tab w:val="clear" w:pos="851"/>
        </w:tabs>
        <w:jc w:val="center"/>
        <w:rPr>
          <w:b/>
          <w:bCs/>
          <w:color w:val="000000" w:themeColor="text1"/>
        </w:rPr>
      </w:pPr>
    </w:p>
    <w:p w14:paraId="3A7C056D" w14:textId="7ECC924B" w:rsidR="00911084" w:rsidRPr="00CF4C72" w:rsidRDefault="001C42BF" w:rsidP="00DF13CD">
      <w:pPr>
        <w:tabs>
          <w:tab w:val="clear" w:pos="851"/>
        </w:tabs>
        <w:jc w:val="center"/>
        <w:rPr>
          <w:b/>
          <w:color w:val="000000" w:themeColor="text1"/>
        </w:rPr>
      </w:pPr>
      <w:r w:rsidRPr="00CF4C72">
        <w:rPr>
          <w:b/>
          <w:color w:val="000000" w:themeColor="text1"/>
        </w:rPr>
        <w:t>Submitted by</w:t>
      </w:r>
      <w:r w:rsidR="00E51148" w:rsidRPr="00CF4C72">
        <w:rPr>
          <w:b/>
          <w:color w:val="000000" w:themeColor="text1"/>
        </w:rPr>
        <w:t xml:space="preserve"> </w:t>
      </w:r>
      <w:r w:rsidR="002F2B0A" w:rsidRPr="00CF4C72">
        <w:rPr>
          <w:b/>
          <w:color w:val="000000" w:themeColor="text1"/>
        </w:rPr>
        <w:t>ICS</w:t>
      </w:r>
      <w:r w:rsidR="00702C2C">
        <w:rPr>
          <w:b/>
          <w:color w:val="000000" w:themeColor="text1"/>
        </w:rPr>
        <w:t xml:space="preserve"> </w:t>
      </w:r>
      <w:r w:rsidR="00702C2C" w:rsidRPr="00C74F2E">
        <w:rPr>
          <w:b/>
        </w:rPr>
        <w:t>and IBIA</w:t>
      </w:r>
    </w:p>
    <w:p w14:paraId="42E90532" w14:textId="77777777" w:rsidR="00911084" w:rsidRPr="00CF4C72" w:rsidRDefault="00911084">
      <w:pPr>
        <w:tabs>
          <w:tab w:val="clear" w:pos="851"/>
        </w:tabs>
        <w:rPr>
          <w:color w:val="000000" w:themeColor="text1"/>
        </w:rPr>
      </w:pP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132" w:type="dxa"/>
          <w:right w:w="132" w:type="dxa"/>
        </w:tblCellMar>
        <w:tblLook w:val="0000" w:firstRow="0" w:lastRow="0" w:firstColumn="0" w:lastColumn="0" w:noHBand="0" w:noVBand="0"/>
      </w:tblPr>
      <w:tblGrid>
        <w:gridCol w:w="2245"/>
        <w:gridCol w:w="6755"/>
      </w:tblGrid>
      <w:tr w:rsidR="00CF4C72" w:rsidRPr="00CF4C72" w14:paraId="11F2D79D" w14:textId="77777777">
        <w:trPr>
          <w:jc w:val="center"/>
        </w:trPr>
        <w:tc>
          <w:tcPr>
            <w:tcW w:w="9000" w:type="dxa"/>
            <w:gridSpan w:val="2"/>
            <w:tcMar>
              <w:top w:w="85" w:type="dxa"/>
              <w:left w:w="85" w:type="dxa"/>
              <w:bottom w:w="85" w:type="dxa"/>
              <w:right w:w="85" w:type="dxa"/>
            </w:tcMar>
          </w:tcPr>
          <w:p w14:paraId="00792230" w14:textId="77777777" w:rsidR="00911084" w:rsidRPr="00CF4C72" w:rsidRDefault="00911084">
            <w:pPr>
              <w:spacing w:line="120" w:lineRule="exact"/>
              <w:rPr>
                <w:bCs/>
                <w:color w:val="000000" w:themeColor="text1"/>
              </w:rPr>
            </w:pPr>
          </w:p>
          <w:p w14:paraId="422148CE" w14:textId="77777777" w:rsidR="00911084" w:rsidRPr="00CF4C72" w:rsidRDefault="001C42BF">
            <w:pPr>
              <w:tabs>
                <w:tab w:val="clear" w:pos="851"/>
              </w:tabs>
              <w:spacing w:after="58"/>
              <w:jc w:val="center"/>
              <w:rPr>
                <w:b/>
                <w:color w:val="000000" w:themeColor="text1"/>
              </w:rPr>
            </w:pPr>
            <w:r w:rsidRPr="00CF4C72">
              <w:rPr>
                <w:b/>
                <w:color w:val="000000" w:themeColor="text1"/>
              </w:rPr>
              <w:t>SUMMARY</w:t>
            </w:r>
          </w:p>
        </w:tc>
      </w:tr>
      <w:tr w:rsidR="00CF4C72" w:rsidRPr="00CF4C72" w14:paraId="130D27B8" w14:textId="77777777">
        <w:trPr>
          <w:jc w:val="center"/>
        </w:trPr>
        <w:tc>
          <w:tcPr>
            <w:tcW w:w="2245" w:type="dxa"/>
            <w:tcMar>
              <w:top w:w="85" w:type="dxa"/>
              <w:left w:w="85" w:type="dxa"/>
              <w:bottom w:w="85" w:type="dxa"/>
              <w:right w:w="85" w:type="dxa"/>
            </w:tcMar>
          </w:tcPr>
          <w:p w14:paraId="2C4659A2" w14:textId="77777777" w:rsidR="00FD713A" w:rsidRPr="00CF4C72" w:rsidRDefault="00FD713A" w:rsidP="00FD713A">
            <w:pPr>
              <w:spacing w:after="58"/>
              <w:rPr>
                <w:bCs/>
                <w:color w:val="000000" w:themeColor="text1"/>
              </w:rPr>
            </w:pPr>
            <w:r w:rsidRPr="00CF4C72">
              <w:rPr>
                <w:bCs/>
                <w:i/>
                <w:color w:val="000000" w:themeColor="text1"/>
              </w:rPr>
              <w:t>Executive summary:</w:t>
            </w:r>
          </w:p>
        </w:tc>
        <w:tc>
          <w:tcPr>
            <w:tcW w:w="6755" w:type="dxa"/>
            <w:tcMar>
              <w:top w:w="85" w:type="dxa"/>
              <w:left w:w="85" w:type="dxa"/>
              <w:bottom w:w="85" w:type="dxa"/>
              <w:right w:w="85" w:type="dxa"/>
            </w:tcMar>
          </w:tcPr>
          <w:p w14:paraId="21E96D27" w14:textId="71963BC5" w:rsidR="00FD713A" w:rsidRPr="00CF4C72" w:rsidRDefault="00A37E5A" w:rsidP="00FD713A">
            <w:pPr>
              <w:tabs>
                <w:tab w:val="clear" w:pos="851"/>
              </w:tabs>
              <w:spacing w:after="58"/>
              <w:rPr>
                <w:bCs/>
                <w:color w:val="000000" w:themeColor="text1"/>
                <w:highlight w:val="yellow"/>
              </w:rPr>
            </w:pPr>
            <w:r w:rsidRPr="00CF4C72">
              <w:rPr>
                <w:color w:val="000000" w:themeColor="text1"/>
              </w:rPr>
              <w:t>ICS</w:t>
            </w:r>
            <w:r w:rsidR="00702C2C" w:rsidRPr="00C74F2E">
              <w:t>,</w:t>
            </w:r>
            <w:r w:rsidR="00A529C6">
              <w:t xml:space="preserve"> </w:t>
            </w:r>
            <w:r w:rsidR="00702C2C" w:rsidRPr="00C74F2E">
              <w:t>with</w:t>
            </w:r>
            <w:r w:rsidR="00A529C6">
              <w:t xml:space="preserve"> </w:t>
            </w:r>
            <w:r w:rsidR="00702C2C" w:rsidRPr="00C74F2E">
              <w:t>IBIA</w:t>
            </w:r>
            <w:r w:rsidR="008433AB">
              <w:t xml:space="preserve"> support</w:t>
            </w:r>
            <w:r w:rsidR="00EF557A" w:rsidRPr="00C74F2E">
              <w:t>,</w:t>
            </w:r>
            <w:r w:rsidRPr="00C74F2E">
              <w:t xml:space="preserve"> </w:t>
            </w:r>
            <w:r>
              <w:rPr>
                <w:color w:val="000000" w:themeColor="text1"/>
              </w:rPr>
              <w:t xml:space="preserve">again </w:t>
            </w:r>
            <w:r w:rsidRPr="00CF4C72">
              <w:rPr>
                <w:color w:val="000000" w:themeColor="text1"/>
              </w:rPr>
              <w:t>set</w:t>
            </w:r>
            <w:r>
              <w:rPr>
                <w:color w:val="000000" w:themeColor="text1"/>
              </w:rPr>
              <w:t>s</w:t>
            </w:r>
            <w:r w:rsidRPr="00CF4C72">
              <w:rPr>
                <w:color w:val="000000" w:themeColor="text1"/>
              </w:rPr>
              <w:t xml:space="preserve"> out possible draft amendments to MARPOL </w:t>
            </w:r>
            <w:r>
              <w:rPr>
                <w:color w:val="000000" w:themeColor="text1"/>
              </w:rPr>
              <w:t xml:space="preserve">Annex </w:t>
            </w:r>
            <w:r w:rsidRPr="00CF4C72">
              <w:rPr>
                <w:color w:val="000000" w:themeColor="text1"/>
              </w:rPr>
              <w:t>VI</w:t>
            </w:r>
            <w:r>
              <w:rPr>
                <w:color w:val="000000" w:themeColor="text1"/>
              </w:rPr>
              <w:t xml:space="preserve">, in </w:t>
            </w:r>
            <w:r w:rsidRPr="00CF4C72">
              <w:rPr>
                <w:color w:val="000000" w:themeColor="text1"/>
              </w:rPr>
              <w:t>terms of maximum permitted GHG intensity of fuels in 2030</w:t>
            </w:r>
            <w:r>
              <w:rPr>
                <w:color w:val="000000" w:themeColor="text1"/>
              </w:rPr>
              <w:t xml:space="preserve">, </w:t>
            </w:r>
            <w:r w:rsidR="00EE14D1">
              <w:rPr>
                <w:color w:val="000000" w:themeColor="text1"/>
              </w:rPr>
              <w:t>i.e</w:t>
            </w:r>
            <w:r w:rsidR="00185359">
              <w:rPr>
                <w:color w:val="000000" w:themeColor="text1"/>
              </w:rPr>
              <w:t>.</w:t>
            </w:r>
            <w:r w:rsidR="00EE14D1">
              <w:rPr>
                <w:color w:val="000000" w:themeColor="text1"/>
              </w:rPr>
              <w:t xml:space="preserve"> an absolute </w:t>
            </w:r>
            <w:r w:rsidR="0065634E">
              <w:rPr>
                <w:color w:val="000000" w:themeColor="text1"/>
              </w:rPr>
              <w:t xml:space="preserve">fuel </w:t>
            </w:r>
            <w:r w:rsidR="00EE14D1">
              <w:rPr>
                <w:color w:val="000000" w:themeColor="text1"/>
              </w:rPr>
              <w:t>standard</w:t>
            </w:r>
            <w:r w:rsidR="00185359">
              <w:rPr>
                <w:color w:val="000000" w:themeColor="text1"/>
              </w:rPr>
              <w:t xml:space="preserve">, </w:t>
            </w:r>
            <w:r>
              <w:rPr>
                <w:color w:val="000000" w:themeColor="text1"/>
              </w:rPr>
              <w:t xml:space="preserve">similar to the approach used for IMO 2020, but revised to provide </w:t>
            </w:r>
            <w:r w:rsidR="003234C7">
              <w:rPr>
                <w:color w:val="000000" w:themeColor="text1"/>
              </w:rPr>
              <w:t xml:space="preserve">for </w:t>
            </w:r>
            <w:r>
              <w:rPr>
                <w:color w:val="000000" w:themeColor="text1"/>
              </w:rPr>
              <w:t>a</w:t>
            </w:r>
            <w:r w:rsidR="003234C7">
              <w:rPr>
                <w:color w:val="000000" w:themeColor="text1"/>
              </w:rPr>
              <w:t xml:space="preserve"> voluntary </w:t>
            </w:r>
            <w:r>
              <w:rPr>
                <w:color w:val="000000" w:themeColor="text1"/>
              </w:rPr>
              <w:t xml:space="preserve">“energy </w:t>
            </w:r>
            <w:r w:rsidRPr="00CF4C72">
              <w:rPr>
                <w:color w:val="000000" w:themeColor="text1"/>
              </w:rPr>
              <w:t>pool</w:t>
            </w:r>
            <w:r>
              <w:rPr>
                <w:color w:val="000000" w:themeColor="text1"/>
              </w:rPr>
              <w:t>ing</w:t>
            </w:r>
            <w:r w:rsidRPr="00CF4C72">
              <w:rPr>
                <w:color w:val="000000" w:themeColor="text1"/>
              </w:rPr>
              <w:t xml:space="preserve"> compliance mechanism</w:t>
            </w:r>
            <w:r>
              <w:rPr>
                <w:color w:val="000000" w:themeColor="text1"/>
              </w:rPr>
              <w:t>”</w:t>
            </w:r>
            <w:r w:rsidR="003C76C0">
              <w:rPr>
                <w:color w:val="000000" w:themeColor="text1"/>
              </w:rPr>
              <w:t>.</w:t>
            </w:r>
            <w:r w:rsidR="004B1048">
              <w:rPr>
                <w:color w:val="000000" w:themeColor="text1"/>
              </w:rPr>
              <w:t xml:space="preserve"> </w:t>
            </w:r>
            <w:r w:rsidR="00F05BF0">
              <w:rPr>
                <w:color w:val="000000" w:themeColor="text1"/>
              </w:rPr>
              <w:t xml:space="preserve">This will provide the same flexibility </w:t>
            </w:r>
            <w:r w:rsidR="00252798">
              <w:rPr>
                <w:color w:val="000000" w:themeColor="text1"/>
              </w:rPr>
              <w:t xml:space="preserve">as other proposals </w:t>
            </w:r>
            <w:r w:rsidR="00F05BF0">
              <w:rPr>
                <w:color w:val="000000" w:themeColor="text1"/>
              </w:rPr>
              <w:t xml:space="preserve">to enable compliance should fuels of the required GHG intensity not always be available, whilst avoiding </w:t>
            </w:r>
            <w:r w:rsidR="00E02B3D">
              <w:rPr>
                <w:color w:val="000000" w:themeColor="text1"/>
              </w:rPr>
              <w:t xml:space="preserve">the </w:t>
            </w:r>
            <w:r w:rsidR="00F05BF0">
              <w:rPr>
                <w:color w:val="000000" w:themeColor="text1"/>
              </w:rPr>
              <w:t xml:space="preserve">need for a </w:t>
            </w:r>
            <w:r w:rsidR="009658AA">
              <w:rPr>
                <w:color w:val="000000" w:themeColor="text1"/>
              </w:rPr>
              <w:t xml:space="preserve">complex </w:t>
            </w:r>
            <w:r w:rsidR="00F05BF0">
              <w:rPr>
                <w:color w:val="000000" w:themeColor="text1"/>
              </w:rPr>
              <w:t>system where “compliance units”/“re</w:t>
            </w:r>
            <w:r w:rsidR="00BD39D4">
              <w:rPr>
                <w:color w:val="000000" w:themeColor="text1"/>
              </w:rPr>
              <w:t>medial</w:t>
            </w:r>
            <w:r w:rsidR="00F05BF0">
              <w:rPr>
                <w:color w:val="000000" w:themeColor="text1"/>
              </w:rPr>
              <w:t xml:space="preserve"> units” are</w:t>
            </w:r>
            <w:r w:rsidR="00C30F9A">
              <w:rPr>
                <w:color w:val="000000" w:themeColor="text1"/>
              </w:rPr>
              <w:t xml:space="preserve"> traded </w:t>
            </w:r>
            <w:r w:rsidR="00F05BF0">
              <w:rPr>
                <w:color w:val="000000" w:themeColor="text1"/>
              </w:rPr>
              <w:t xml:space="preserve">and reported </w:t>
            </w:r>
            <w:r w:rsidR="00221E24">
              <w:rPr>
                <w:color w:val="000000" w:themeColor="text1"/>
              </w:rPr>
              <w:t>to</w:t>
            </w:r>
            <w:r w:rsidR="00D93038">
              <w:rPr>
                <w:color w:val="000000" w:themeColor="text1"/>
              </w:rPr>
              <w:t>,</w:t>
            </w:r>
            <w:r w:rsidR="00E02B3D">
              <w:rPr>
                <w:color w:val="000000" w:themeColor="text1"/>
              </w:rPr>
              <w:t xml:space="preserve"> and </w:t>
            </w:r>
            <w:r w:rsidR="00221E24">
              <w:rPr>
                <w:color w:val="000000" w:themeColor="text1"/>
              </w:rPr>
              <w:t>purchased from</w:t>
            </w:r>
            <w:r w:rsidR="00D93038">
              <w:rPr>
                <w:color w:val="000000" w:themeColor="text1"/>
              </w:rPr>
              <w:t>,</w:t>
            </w:r>
            <w:r w:rsidR="00F05BF0">
              <w:rPr>
                <w:color w:val="000000" w:themeColor="text1"/>
              </w:rPr>
              <w:t xml:space="preserve"> a central IMO registry, thus avoiding considerable administrative burden for the Organization, flag States and ships which an </w:t>
            </w:r>
            <w:r w:rsidR="00082E5F">
              <w:rPr>
                <w:color w:val="000000" w:themeColor="text1"/>
              </w:rPr>
              <w:t xml:space="preserve">overly </w:t>
            </w:r>
            <w:r w:rsidR="00F05BF0">
              <w:rPr>
                <w:color w:val="000000" w:themeColor="text1"/>
              </w:rPr>
              <w:t>complex system would entail</w:t>
            </w:r>
            <w:r w:rsidR="00943BD9">
              <w:rPr>
                <w:color w:val="000000" w:themeColor="text1"/>
              </w:rPr>
              <w:t>.</w:t>
            </w:r>
            <w:r w:rsidR="009658AA">
              <w:rPr>
                <w:color w:val="000000" w:themeColor="text1"/>
              </w:rPr>
              <w:t xml:space="preserve"> </w:t>
            </w:r>
            <w:r w:rsidR="00874332">
              <w:rPr>
                <w:color w:val="000000" w:themeColor="text1"/>
              </w:rPr>
              <w:t xml:space="preserve">The co-sponsors </w:t>
            </w:r>
            <w:r w:rsidR="00EB2C27">
              <w:rPr>
                <w:color w:val="000000" w:themeColor="text1"/>
              </w:rPr>
              <w:t>support</w:t>
            </w:r>
            <w:r w:rsidR="00137AA9">
              <w:rPr>
                <w:color w:val="000000" w:themeColor="text1"/>
              </w:rPr>
              <w:t xml:space="preserve"> </w:t>
            </w:r>
            <w:r w:rsidR="00374513" w:rsidRPr="00CF4C72">
              <w:rPr>
                <w:color w:val="000000" w:themeColor="text1"/>
              </w:rPr>
              <w:t>a</w:t>
            </w:r>
            <w:r w:rsidR="00F82FB8">
              <w:rPr>
                <w:color w:val="000000" w:themeColor="text1"/>
              </w:rPr>
              <w:t xml:space="preserve"> </w:t>
            </w:r>
            <w:r w:rsidR="00FD713A" w:rsidRPr="00CF4C72">
              <w:rPr>
                <w:color w:val="000000" w:themeColor="text1"/>
              </w:rPr>
              <w:t xml:space="preserve">GFS </w:t>
            </w:r>
            <w:r w:rsidR="00BD05DD" w:rsidRPr="00CF4C72">
              <w:rPr>
                <w:color w:val="000000" w:themeColor="text1"/>
              </w:rPr>
              <w:t xml:space="preserve">with </w:t>
            </w:r>
            <w:r w:rsidR="00BC53E8" w:rsidRPr="00CF4C72">
              <w:rPr>
                <w:color w:val="000000" w:themeColor="text1"/>
              </w:rPr>
              <w:t>an aggressive tightening of th</w:t>
            </w:r>
            <w:r w:rsidR="009A4DC6">
              <w:rPr>
                <w:color w:val="000000" w:themeColor="text1"/>
              </w:rPr>
              <w:t>e</w:t>
            </w:r>
            <w:r w:rsidR="00BC53E8" w:rsidRPr="00CF4C72">
              <w:rPr>
                <w:color w:val="000000" w:themeColor="text1"/>
              </w:rPr>
              <w:t xml:space="preserve"> </w:t>
            </w:r>
            <w:r w:rsidR="00706299">
              <w:rPr>
                <w:color w:val="000000" w:themeColor="text1"/>
              </w:rPr>
              <w:t xml:space="preserve">GHG </w:t>
            </w:r>
            <w:r w:rsidR="00361723">
              <w:rPr>
                <w:color w:val="000000" w:themeColor="text1"/>
              </w:rPr>
              <w:t xml:space="preserve">intensity </w:t>
            </w:r>
            <w:r w:rsidR="00BC53E8" w:rsidRPr="00CF4C72">
              <w:rPr>
                <w:color w:val="000000" w:themeColor="text1"/>
              </w:rPr>
              <w:t>standard after 2030</w:t>
            </w:r>
            <w:r w:rsidR="00CB630A" w:rsidRPr="00CF4C72">
              <w:rPr>
                <w:color w:val="000000" w:themeColor="text1"/>
              </w:rPr>
              <w:t xml:space="preserve">, </w:t>
            </w:r>
            <w:r w:rsidR="00FD713A" w:rsidRPr="00CF4C72">
              <w:rPr>
                <w:color w:val="000000" w:themeColor="text1"/>
              </w:rPr>
              <w:t xml:space="preserve">provided this is supported by </w:t>
            </w:r>
            <w:r w:rsidR="00584E03">
              <w:rPr>
                <w:color w:val="000000" w:themeColor="text1"/>
              </w:rPr>
              <w:t xml:space="preserve">the proposed Fund and Reward </w:t>
            </w:r>
            <w:r w:rsidR="0064261E">
              <w:rPr>
                <w:color w:val="000000" w:themeColor="text1"/>
              </w:rPr>
              <w:t xml:space="preserve">(feebate) </w:t>
            </w:r>
            <w:r w:rsidR="002E6AA4">
              <w:rPr>
                <w:color w:val="000000" w:themeColor="text1"/>
              </w:rPr>
              <w:t>measure, or similar</w:t>
            </w:r>
            <w:r w:rsidR="00F44856">
              <w:rPr>
                <w:color w:val="000000" w:themeColor="text1"/>
              </w:rPr>
              <w:t>.</w:t>
            </w:r>
            <w:r w:rsidR="0047652A">
              <w:rPr>
                <w:color w:val="000000" w:themeColor="text1"/>
              </w:rPr>
              <w:t xml:space="preserve"> </w:t>
            </w:r>
            <w:r w:rsidR="00FD713A" w:rsidRPr="00CF4C72">
              <w:rPr>
                <w:color w:val="000000" w:themeColor="text1"/>
              </w:rPr>
              <w:t>To</w:t>
            </w:r>
            <w:r w:rsidR="00BA5AAC">
              <w:rPr>
                <w:color w:val="000000" w:themeColor="text1"/>
              </w:rPr>
              <w:t xml:space="preserve"> </w:t>
            </w:r>
            <w:r w:rsidR="00CF2A60">
              <w:rPr>
                <w:color w:val="000000" w:themeColor="text1"/>
              </w:rPr>
              <w:t xml:space="preserve">send </w:t>
            </w:r>
            <w:r w:rsidR="000A55D8">
              <w:rPr>
                <w:color w:val="000000" w:themeColor="text1"/>
              </w:rPr>
              <w:t>an</w:t>
            </w:r>
            <w:r w:rsidR="00FD713A" w:rsidRPr="00CF4C72">
              <w:rPr>
                <w:color w:val="000000" w:themeColor="text1"/>
              </w:rPr>
              <w:t xml:space="preserve"> unambiguous signal </w:t>
            </w:r>
            <w:r w:rsidR="00F44856">
              <w:rPr>
                <w:color w:val="000000" w:themeColor="text1"/>
              </w:rPr>
              <w:t>t</w:t>
            </w:r>
            <w:r w:rsidR="00FD713A" w:rsidRPr="00CF4C72">
              <w:rPr>
                <w:color w:val="000000" w:themeColor="text1"/>
              </w:rPr>
              <w:t>o fuel produce</w:t>
            </w:r>
            <w:r w:rsidR="00104359">
              <w:rPr>
                <w:color w:val="000000" w:themeColor="text1"/>
              </w:rPr>
              <w:t>rs/</w:t>
            </w:r>
            <w:r w:rsidR="008A4F9C" w:rsidRPr="00CF4C72">
              <w:rPr>
                <w:color w:val="000000" w:themeColor="text1"/>
              </w:rPr>
              <w:t>sup</w:t>
            </w:r>
            <w:r w:rsidR="00F11823" w:rsidRPr="00CF4C72">
              <w:rPr>
                <w:color w:val="000000" w:themeColor="text1"/>
              </w:rPr>
              <w:t>pliers</w:t>
            </w:r>
            <w:r w:rsidR="00FD713A" w:rsidRPr="00CF4C72">
              <w:rPr>
                <w:color w:val="000000" w:themeColor="text1"/>
              </w:rPr>
              <w:t xml:space="preserve">, </w:t>
            </w:r>
            <w:r w:rsidR="00702C2C">
              <w:rPr>
                <w:color w:val="000000" w:themeColor="text1"/>
              </w:rPr>
              <w:t>the co-sponsors</w:t>
            </w:r>
            <w:r w:rsidR="00702C2C" w:rsidRPr="00CF4C72">
              <w:rPr>
                <w:color w:val="000000" w:themeColor="text1"/>
              </w:rPr>
              <w:t xml:space="preserve"> </w:t>
            </w:r>
            <w:r w:rsidR="00233543">
              <w:rPr>
                <w:color w:val="000000" w:themeColor="text1"/>
              </w:rPr>
              <w:t xml:space="preserve">still </w:t>
            </w:r>
            <w:r w:rsidR="000F5157" w:rsidRPr="00CF4C72">
              <w:rPr>
                <w:color w:val="000000" w:themeColor="text1"/>
              </w:rPr>
              <w:t>suggest</w:t>
            </w:r>
            <w:r w:rsidR="000F5157">
              <w:rPr>
                <w:color w:val="000000" w:themeColor="text1"/>
              </w:rPr>
              <w:t xml:space="preserve"> </w:t>
            </w:r>
            <w:r w:rsidR="00FD713A" w:rsidRPr="00CF4C72">
              <w:rPr>
                <w:color w:val="000000" w:themeColor="text1"/>
              </w:rPr>
              <w:t xml:space="preserve">a </w:t>
            </w:r>
            <w:r w:rsidR="00CE6B1B">
              <w:rPr>
                <w:color w:val="000000" w:themeColor="text1"/>
              </w:rPr>
              <w:t>GFS</w:t>
            </w:r>
            <w:r w:rsidR="00FD713A" w:rsidRPr="00CF4C72">
              <w:rPr>
                <w:color w:val="000000" w:themeColor="text1"/>
              </w:rPr>
              <w:t xml:space="preserve"> simpler in design </w:t>
            </w:r>
            <w:r w:rsidR="00D1308A">
              <w:rPr>
                <w:color w:val="000000" w:themeColor="text1"/>
              </w:rPr>
              <w:t xml:space="preserve">and with a smaller administrative </w:t>
            </w:r>
            <w:r w:rsidR="003A7CC8">
              <w:rPr>
                <w:color w:val="000000" w:themeColor="text1"/>
              </w:rPr>
              <w:t xml:space="preserve">burden </w:t>
            </w:r>
            <w:r w:rsidR="00E43077">
              <w:rPr>
                <w:color w:val="000000" w:themeColor="text1"/>
              </w:rPr>
              <w:t xml:space="preserve">to </w:t>
            </w:r>
            <w:r w:rsidR="00104359">
              <w:rPr>
                <w:color w:val="000000" w:themeColor="text1"/>
              </w:rPr>
              <w:t xml:space="preserve">that </w:t>
            </w:r>
            <w:r w:rsidR="0067325D">
              <w:rPr>
                <w:color w:val="000000" w:themeColor="text1"/>
              </w:rPr>
              <w:t>set out in</w:t>
            </w:r>
            <w:r w:rsidR="00FD713A" w:rsidRPr="00CF4C72">
              <w:rPr>
                <w:color w:val="000000" w:themeColor="text1"/>
              </w:rPr>
              <w:t xml:space="preserve"> </w:t>
            </w:r>
            <w:r w:rsidR="00233543">
              <w:rPr>
                <w:color w:val="000000" w:themeColor="text1"/>
              </w:rPr>
              <w:t>other prop</w:t>
            </w:r>
            <w:r w:rsidR="00F05BF0">
              <w:rPr>
                <w:color w:val="000000" w:themeColor="text1"/>
              </w:rPr>
              <w:t>osals</w:t>
            </w:r>
            <w:r w:rsidR="000A55D8">
              <w:rPr>
                <w:color w:val="000000" w:themeColor="text1"/>
              </w:rPr>
              <w:t xml:space="preserve">. </w:t>
            </w:r>
            <w:r w:rsidR="006C3B41">
              <w:rPr>
                <w:color w:val="000000" w:themeColor="text1"/>
              </w:rPr>
              <w:t>Th</w:t>
            </w:r>
            <w:r w:rsidR="0085600D">
              <w:rPr>
                <w:color w:val="000000" w:themeColor="text1"/>
              </w:rPr>
              <w:t>is</w:t>
            </w:r>
            <w:r w:rsidR="0019350D">
              <w:rPr>
                <w:color w:val="000000" w:themeColor="text1"/>
              </w:rPr>
              <w:t xml:space="preserve"> </w:t>
            </w:r>
            <w:r w:rsidR="00E11967">
              <w:rPr>
                <w:color w:val="000000" w:themeColor="text1"/>
              </w:rPr>
              <w:t>proposal</w:t>
            </w:r>
            <w:r w:rsidR="006C3B41">
              <w:rPr>
                <w:color w:val="000000" w:themeColor="text1"/>
              </w:rPr>
              <w:t xml:space="preserve"> would also </w:t>
            </w:r>
            <w:r w:rsidR="00022898">
              <w:rPr>
                <w:color w:val="000000" w:themeColor="text1"/>
              </w:rPr>
              <w:t>mak</w:t>
            </w:r>
            <w:r w:rsidR="006C3B41">
              <w:rPr>
                <w:color w:val="000000" w:themeColor="text1"/>
              </w:rPr>
              <w:t>e</w:t>
            </w:r>
            <w:r w:rsidR="00022898">
              <w:rPr>
                <w:color w:val="000000" w:themeColor="text1"/>
              </w:rPr>
              <w:t xml:space="preserve"> implementation </w:t>
            </w:r>
            <w:r w:rsidR="00E51E52">
              <w:rPr>
                <w:color w:val="000000" w:themeColor="text1"/>
              </w:rPr>
              <w:t xml:space="preserve">of </w:t>
            </w:r>
            <w:r w:rsidR="00D410CA">
              <w:rPr>
                <w:color w:val="000000" w:themeColor="text1"/>
              </w:rPr>
              <w:t>a</w:t>
            </w:r>
            <w:r w:rsidR="00E64D57">
              <w:rPr>
                <w:color w:val="000000" w:themeColor="text1"/>
              </w:rPr>
              <w:t xml:space="preserve"> </w:t>
            </w:r>
            <w:r w:rsidR="008015AA">
              <w:rPr>
                <w:color w:val="000000" w:themeColor="text1"/>
              </w:rPr>
              <w:t>GFS</w:t>
            </w:r>
            <w:r w:rsidR="007B76D2">
              <w:rPr>
                <w:color w:val="000000" w:themeColor="text1"/>
              </w:rPr>
              <w:t xml:space="preserve"> </w:t>
            </w:r>
            <w:r w:rsidR="00E91BBE">
              <w:rPr>
                <w:color w:val="000000" w:themeColor="text1"/>
              </w:rPr>
              <w:t xml:space="preserve">more likely </w:t>
            </w:r>
            <w:r w:rsidR="00E51E52">
              <w:rPr>
                <w:color w:val="000000" w:themeColor="text1"/>
              </w:rPr>
              <w:t xml:space="preserve">to be </w:t>
            </w:r>
            <w:r w:rsidR="007B76D2">
              <w:rPr>
                <w:color w:val="000000" w:themeColor="text1"/>
              </w:rPr>
              <w:t xml:space="preserve">practically </w:t>
            </w:r>
            <w:r w:rsidR="008015AA">
              <w:rPr>
                <w:color w:val="000000" w:themeColor="text1"/>
              </w:rPr>
              <w:t xml:space="preserve">feasible </w:t>
            </w:r>
            <w:r w:rsidR="00E51E52">
              <w:rPr>
                <w:color w:val="000000" w:themeColor="text1"/>
              </w:rPr>
              <w:t xml:space="preserve">by </w:t>
            </w:r>
            <w:r w:rsidR="00AA447A">
              <w:rPr>
                <w:color w:val="000000" w:themeColor="text1"/>
              </w:rPr>
              <w:t>2027</w:t>
            </w:r>
            <w:r w:rsidR="009459A0">
              <w:rPr>
                <w:color w:val="000000" w:themeColor="text1"/>
              </w:rPr>
              <w:t>,</w:t>
            </w:r>
            <w:r w:rsidR="00AA447A">
              <w:rPr>
                <w:color w:val="000000" w:themeColor="text1"/>
              </w:rPr>
              <w:t xml:space="preserve"> </w:t>
            </w:r>
            <w:r w:rsidR="001C1F4B">
              <w:rPr>
                <w:color w:val="000000" w:themeColor="text1"/>
              </w:rPr>
              <w:t xml:space="preserve">in line </w:t>
            </w:r>
            <w:r w:rsidR="009459A0">
              <w:rPr>
                <w:color w:val="000000" w:themeColor="text1"/>
              </w:rPr>
              <w:t xml:space="preserve">with </w:t>
            </w:r>
            <w:r w:rsidR="00AA447A">
              <w:rPr>
                <w:color w:val="000000" w:themeColor="text1"/>
              </w:rPr>
              <w:t xml:space="preserve">the </w:t>
            </w:r>
            <w:r w:rsidR="00F20D18">
              <w:rPr>
                <w:color w:val="000000" w:themeColor="text1"/>
              </w:rPr>
              <w:t xml:space="preserve">2023 </w:t>
            </w:r>
            <w:r w:rsidR="00AA447A">
              <w:rPr>
                <w:color w:val="000000" w:themeColor="text1"/>
              </w:rPr>
              <w:t>GHG Strategy</w:t>
            </w:r>
            <w:r w:rsidR="00F20D18">
              <w:rPr>
                <w:color w:val="000000" w:themeColor="text1"/>
              </w:rPr>
              <w:t>.</w:t>
            </w:r>
            <w:r w:rsidR="00AA447A">
              <w:rPr>
                <w:color w:val="000000" w:themeColor="text1"/>
              </w:rPr>
              <w:t xml:space="preserve"> </w:t>
            </w:r>
            <w:r w:rsidR="000109E9">
              <w:rPr>
                <w:color w:val="000000" w:themeColor="text1"/>
              </w:rPr>
              <w:t xml:space="preserve"> </w:t>
            </w:r>
          </w:p>
        </w:tc>
      </w:tr>
      <w:tr w:rsidR="00CF4C72" w:rsidRPr="00CF4C72" w14:paraId="7147B349" w14:textId="77777777">
        <w:trPr>
          <w:jc w:val="center"/>
        </w:trPr>
        <w:tc>
          <w:tcPr>
            <w:tcW w:w="2245" w:type="dxa"/>
            <w:tcMar>
              <w:top w:w="85" w:type="dxa"/>
              <w:left w:w="85" w:type="dxa"/>
              <w:bottom w:w="85" w:type="dxa"/>
              <w:right w:w="85" w:type="dxa"/>
            </w:tcMar>
          </w:tcPr>
          <w:p w14:paraId="7AB97A4F" w14:textId="77777777" w:rsidR="00911084" w:rsidRPr="00CF4C72" w:rsidRDefault="001C42BF">
            <w:pPr>
              <w:spacing w:after="58"/>
              <w:rPr>
                <w:bCs/>
                <w:color w:val="000000" w:themeColor="text1"/>
              </w:rPr>
            </w:pPr>
            <w:r w:rsidRPr="00CF4C72">
              <w:rPr>
                <w:bCs/>
                <w:i/>
                <w:color w:val="000000" w:themeColor="text1"/>
              </w:rPr>
              <w:t xml:space="preserve">Strategic </w:t>
            </w:r>
            <w:r w:rsidR="00F41638" w:rsidRPr="00CF4C72">
              <w:rPr>
                <w:bCs/>
                <w:i/>
                <w:color w:val="000000" w:themeColor="text1"/>
              </w:rPr>
              <w:t>d</w:t>
            </w:r>
            <w:r w:rsidRPr="00CF4C72">
              <w:rPr>
                <w:bCs/>
                <w:i/>
                <w:color w:val="000000" w:themeColor="text1"/>
              </w:rPr>
              <w:t>irection, if applicable:</w:t>
            </w:r>
          </w:p>
        </w:tc>
        <w:tc>
          <w:tcPr>
            <w:tcW w:w="6755" w:type="dxa"/>
            <w:tcMar>
              <w:top w:w="85" w:type="dxa"/>
              <w:left w:w="85" w:type="dxa"/>
              <w:bottom w:w="85" w:type="dxa"/>
              <w:right w:w="85" w:type="dxa"/>
            </w:tcMar>
          </w:tcPr>
          <w:p w14:paraId="389618F1" w14:textId="118582BB" w:rsidR="00911084" w:rsidRPr="00CF4C72" w:rsidRDefault="00075B46">
            <w:pPr>
              <w:tabs>
                <w:tab w:val="clear" w:pos="851"/>
              </w:tabs>
              <w:spacing w:after="58"/>
              <w:rPr>
                <w:bCs/>
                <w:color w:val="000000" w:themeColor="text1"/>
              </w:rPr>
            </w:pPr>
            <w:bookmarkStart w:id="8" w:name="StraDir"/>
            <w:bookmarkEnd w:id="8"/>
            <w:r w:rsidRPr="00CF4C72">
              <w:rPr>
                <w:bCs/>
                <w:color w:val="000000" w:themeColor="text1"/>
              </w:rPr>
              <w:t>3</w:t>
            </w:r>
          </w:p>
        </w:tc>
      </w:tr>
      <w:tr w:rsidR="00CF4C72" w:rsidRPr="00CF4C72" w14:paraId="788BD2D6" w14:textId="77777777">
        <w:trPr>
          <w:jc w:val="center"/>
        </w:trPr>
        <w:tc>
          <w:tcPr>
            <w:tcW w:w="2245" w:type="dxa"/>
            <w:tcMar>
              <w:top w:w="85" w:type="dxa"/>
              <w:left w:w="85" w:type="dxa"/>
              <w:bottom w:w="85" w:type="dxa"/>
              <w:right w:w="85" w:type="dxa"/>
            </w:tcMar>
          </w:tcPr>
          <w:p w14:paraId="66B5DA46" w14:textId="77777777" w:rsidR="00911084" w:rsidRPr="00CF4C72" w:rsidRDefault="001C42BF">
            <w:pPr>
              <w:spacing w:after="58"/>
              <w:rPr>
                <w:bCs/>
                <w:color w:val="000000" w:themeColor="text1"/>
              </w:rPr>
            </w:pPr>
            <w:r w:rsidRPr="00CF4C72">
              <w:rPr>
                <w:bCs/>
                <w:i/>
                <w:color w:val="000000" w:themeColor="text1"/>
              </w:rPr>
              <w:t>Output:</w:t>
            </w:r>
          </w:p>
        </w:tc>
        <w:tc>
          <w:tcPr>
            <w:tcW w:w="6755" w:type="dxa"/>
            <w:tcMar>
              <w:top w:w="85" w:type="dxa"/>
              <w:left w:w="85" w:type="dxa"/>
              <w:bottom w:w="85" w:type="dxa"/>
              <w:right w:w="85" w:type="dxa"/>
            </w:tcMar>
          </w:tcPr>
          <w:p w14:paraId="698398DA" w14:textId="1853EF4E" w:rsidR="00911084" w:rsidRPr="00CF4C72" w:rsidRDefault="00075B46">
            <w:pPr>
              <w:tabs>
                <w:tab w:val="clear" w:pos="851"/>
              </w:tabs>
              <w:spacing w:after="58"/>
              <w:rPr>
                <w:bCs/>
                <w:color w:val="000000" w:themeColor="text1"/>
              </w:rPr>
            </w:pPr>
            <w:bookmarkStart w:id="9" w:name="PlanOut"/>
            <w:bookmarkEnd w:id="9"/>
            <w:r w:rsidRPr="00CF4C72">
              <w:rPr>
                <w:bCs/>
                <w:color w:val="000000" w:themeColor="text1"/>
              </w:rPr>
              <w:t>3.2</w:t>
            </w:r>
          </w:p>
        </w:tc>
      </w:tr>
      <w:tr w:rsidR="00CF4C72" w:rsidRPr="00CF4C72" w14:paraId="56C3FFA7" w14:textId="77777777">
        <w:trPr>
          <w:jc w:val="center"/>
        </w:trPr>
        <w:tc>
          <w:tcPr>
            <w:tcW w:w="2245" w:type="dxa"/>
            <w:tcMar>
              <w:top w:w="85" w:type="dxa"/>
              <w:left w:w="85" w:type="dxa"/>
              <w:bottom w:w="85" w:type="dxa"/>
              <w:right w:w="85" w:type="dxa"/>
            </w:tcMar>
          </w:tcPr>
          <w:p w14:paraId="27244E4F" w14:textId="77777777" w:rsidR="00911084" w:rsidRPr="00CF4C72" w:rsidRDefault="001C42BF">
            <w:pPr>
              <w:spacing w:after="58"/>
              <w:rPr>
                <w:bCs/>
                <w:color w:val="000000" w:themeColor="text1"/>
              </w:rPr>
            </w:pPr>
            <w:r w:rsidRPr="00CF4C72">
              <w:rPr>
                <w:bCs/>
                <w:i/>
                <w:color w:val="000000" w:themeColor="text1"/>
              </w:rPr>
              <w:t>Action to be taken:</w:t>
            </w:r>
          </w:p>
        </w:tc>
        <w:tc>
          <w:tcPr>
            <w:tcW w:w="6755" w:type="dxa"/>
            <w:tcMar>
              <w:top w:w="85" w:type="dxa"/>
              <w:left w:w="85" w:type="dxa"/>
              <w:bottom w:w="85" w:type="dxa"/>
              <w:right w:w="85" w:type="dxa"/>
            </w:tcMar>
          </w:tcPr>
          <w:p w14:paraId="36DCFC33" w14:textId="04353FFD" w:rsidR="00911084" w:rsidRPr="00CF4C72" w:rsidRDefault="00C33EFC">
            <w:pPr>
              <w:tabs>
                <w:tab w:val="clear" w:pos="851"/>
              </w:tabs>
              <w:spacing w:after="58"/>
              <w:rPr>
                <w:bCs/>
                <w:color w:val="000000" w:themeColor="text1"/>
              </w:rPr>
            </w:pPr>
            <w:bookmarkStart w:id="10" w:name="Action"/>
            <w:bookmarkEnd w:id="10"/>
            <w:r w:rsidRPr="00CF4C72">
              <w:rPr>
                <w:bCs/>
                <w:color w:val="000000" w:themeColor="text1"/>
              </w:rPr>
              <w:t xml:space="preserve">Paragraph </w:t>
            </w:r>
            <w:r w:rsidR="00242DC6" w:rsidRPr="00F952F2">
              <w:rPr>
                <w:bCs/>
                <w:color w:val="000000" w:themeColor="text1"/>
              </w:rPr>
              <w:t>3</w:t>
            </w:r>
            <w:r w:rsidR="00340F5D" w:rsidRPr="00F952F2">
              <w:rPr>
                <w:bCs/>
                <w:color w:val="000000" w:themeColor="text1"/>
              </w:rPr>
              <w:t>7</w:t>
            </w:r>
          </w:p>
        </w:tc>
      </w:tr>
      <w:tr w:rsidR="00911084" w:rsidRPr="00CF4C72" w14:paraId="4BF41271" w14:textId="77777777">
        <w:trPr>
          <w:jc w:val="center"/>
        </w:trPr>
        <w:tc>
          <w:tcPr>
            <w:tcW w:w="2245" w:type="dxa"/>
            <w:tcMar>
              <w:top w:w="85" w:type="dxa"/>
              <w:left w:w="85" w:type="dxa"/>
              <w:bottom w:w="85" w:type="dxa"/>
              <w:right w:w="85" w:type="dxa"/>
            </w:tcMar>
          </w:tcPr>
          <w:p w14:paraId="38337C51" w14:textId="77777777" w:rsidR="00911084" w:rsidRPr="00CF4C72" w:rsidRDefault="001C42BF">
            <w:pPr>
              <w:spacing w:after="58"/>
              <w:rPr>
                <w:bCs/>
                <w:color w:val="000000" w:themeColor="text1"/>
              </w:rPr>
            </w:pPr>
            <w:r w:rsidRPr="00CF4C72">
              <w:rPr>
                <w:bCs/>
                <w:i/>
                <w:color w:val="000000" w:themeColor="text1"/>
              </w:rPr>
              <w:t>Related documents:</w:t>
            </w:r>
          </w:p>
        </w:tc>
        <w:tc>
          <w:tcPr>
            <w:tcW w:w="6755" w:type="dxa"/>
            <w:tcMar>
              <w:top w:w="85" w:type="dxa"/>
              <w:left w:w="85" w:type="dxa"/>
              <w:bottom w:w="85" w:type="dxa"/>
              <w:right w:w="85" w:type="dxa"/>
            </w:tcMar>
          </w:tcPr>
          <w:p w14:paraId="2A34F051" w14:textId="16F43C40" w:rsidR="00911084" w:rsidRPr="00CF4C72" w:rsidRDefault="00CD2C80">
            <w:pPr>
              <w:tabs>
                <w:tab w:val="clear" w:pos="851"/>
              </w:tabs>
              <w:spacing w:after="58"/>
              <w:rPr>
                <w:color w:val="000000" w:themeColor="text1"/>
              </w:rPr>
            </w:pPr>
            <w:bookmarkStart w:id="11" w:name="Reldoc"/>
            <w:bookmarkEnd w:id="11"/>
            <w:r>
              <w:rPr>
                <w:bCs/>
                <w:color w:val="000000" w:themeColor="text1"/>
              </w:rPr>
              <w:t>MEPC 80/17</w:t>
            </w:r>
            <w:r w:rsidR="00FD1AAF">
              <w:rPr>
                <w:bCs/>
                <w:color w:val="000000" w:themeColor="text1"/>
              </w:rPr>
              <w:t>;</w:t>
            </w:r>
            <w:r>
              <w:rPr>
                <w:bCs/>
                <w:color w:val="000000" w:themeColor="text1"/>
              </w:rPr>
              <w:t xml:space="preserve"> MEPC 80/WP.7</w:t>
            </w:r>
            <w:r w:rsidR="00FD1AAF">
              <w:rPr>
                <w:bCs/>
                <w:color w:val="000000" w:themeColor="text1"/>
              </w:rPr>
              <w:t xml:space="preserve">; </w:t>
            </w:r>
            <w:r w:rsidR="005204AA">
              <w:rPr>
                <w:bCs/>
                <w:color w:val="000000" w:themeColor="text1"/>
              </w:rPr>
              <w:t>MEPC 80/WP.6</w:t>
            </w:r>
            <w:r>
              <w:rPr>
                <w:bCs/>
                <w:color w:val="000000" w:themeColor="text1"/>
              </w:rPr>
              <w:t xml:space="preserve">; ISWG-GHG </w:t>
            </w:r>
            <w:r w:rsidR="00D3129E">
              <w:rPr>
                <w:bCs/>
                <w:color w:val="000000" w:themeColor="text1"/>
              </w:rPr>
              <w:t>15/3/1</w:t>
            </w:r>
            <w:r w:rsidR="00FD1AAF">
              <w:rPr>
                <w:bCs/>
                <w:color w:val="000000" w:themeColor="text1"/>
              </w:rPr>
              <w:t>;</w:t>
            </w:r>
            <w:r w:rsidR="00D3129E">
              <w:rPr>
                <w:bCs/>
                <w:color w:val="000000" w:themeColor="text1"/>
              </w:rPr>
              <w:t xml:space="preserve"> </w:t>
            </w:r>
            <w:r w:rsidR="00EF557A">
              <w:rPr>
                <w:bCs/>
                <w:color w:val="000000" w:themeColor="text1"/>
              </w:rPr>
              <w:t>ISWG</w:t>
            </w:r>
            <w:r w:rsidR="00F60E2D">
              <w:rPr>
                <w:bCs/>
                <w:color w:val="000000" w:themeColor="text1"/>
              </w:rPr>
              <w:t>-GHG</w:t>
            </w:r>
            <w:r w:rsidR="00282A17">
              <w:rPr>
                <w:bCs/>
                <w:color w:val="000000" w:themeColor="text1"/>
              </w:rPr>
              <w:t xml:space="preserve"> </w:t>
            </w:r>
            <w:r w:rsidR="00D3129E">
              <w:rPr>
                <w:bCs/>
                <w:color w:val="000000" w:themeColor="text1"/>
              </w:rPr>
              <w:t>15/3/</w:t>
            </w:r>
            <w:r w:rsidR="0071730D">
              <w:rPr>
                <w:bCs/>
                <w:color w:val="000000" w:themeColor="text1"/>
              </w:rPr>
              <w:t>2</w:t>
            </w:r>
            <w:r w:rsidR="00FD1AAF">
              <w:rPr>
                <w:bCs/>
                <w:color w:val="000000" w:themeColor="text1"/>
              </w:rPr>
              <w:t>;</w:t>
            </w:r>
            <w:r w:rsidR="00282A17">
              <w:rPr>
                <w:bCs/>
                <w:color w:val="000000" w:themeColor="text1"/>
              </w:rPr>
              <w:t xml:space="preserve"> ISWG-GHG </w:t>
            </w:r>
            <w:r w:rsidR="0071730D">
              <w:rPr>
                <w:bCs/>
                <w:color w:val="000000" w:themeColor="text1"/>
              </w:rPr>
              <w:t>15/3/</w:t>
            </w:r>
            <w:r w:rsidR="00F60E2D">
              <w:rPr>
                <w:bCs/>
                <w:color w:val="000000" w:themeColor="text1"/>
              </w:rPr>
              <w:t>4</w:t>
            </w:r>
            <w:r w:rsidR="00FD1AAF">
              <w:rPr>
                <w:bCs/>
                <w:color w:val="000000" w:themeColor="text1"/>
              </w:rPr>
              <w:t>;</w:t>
            </w:r>
            <w:r w:rsidR="0071730D">
              <w:rPr>
                <w:bCs/>
                <w:color w:val="000000" w:themeColor="text1"/>
              </w:rPr>
              <w:t xml:space="preserve"> </w:t>
            </w:r>
            <w:r w:rsidR="00EF557A">
              <w:rPr>
                <w:bCs/>
                <w:color w:val="000000" w:themeColor="text1"/>
              </w:rPr>
              <w:t>ISWG</w:t>
            </w:r>
            <w:r w:rsidR="00282A17">
              <w:rPr>
                <w:bCs/>
                <w:color w:val="000000" w:themeColor="text1"/>
              </w:rPr>
              <w:t xml:space="preserve">-GHG </w:t>
            </w:r>
            <w:r>
              <w:rPr>
                <w:bCs/>
                <w:color w:val="000000" w:themeColor="text1"/>
              </w:rPr>
              <w:t>15/3/6</w:t>
            </w:r>
            <w:r w:rsidR="00642978" w:rsidRPr="00CF4C72">
              <w:rPr>
                <w:bCs/>
                <w:color w:val="000000" w:themeColor="text1"/>
              </w:rPr>
              <w:t>;</w:t>
            </w:r>
            <w:r w:rsidR="00282A17">
              <w:rPr>
                <w:bCs/>
                <w:color w:val="000000" w:themeColor="text1"/>
              </w:rPr>
              <w:t xml:space="preserve"> I</w:t>
            </w:r>
            <w:r w:rsidR="003D784D">
              <w:rPr>
                <w:bCs/>
                <w:color w:val="000000" w:themeColor="text1"/>
              </w:rPr>
              <w:t>SWG</w:t>
            </w:r>
            <w:r w:rsidR="00B13C1A">
              <w:rPr>
                <w:bCs/>
                <w:color w:val="000000" w:themeColor="text1"/>
              </w:rPr>
              <w:t>-GHG 15/3/7</w:t>
            </w:r>
            <w:r w:rsidR="00FD1AAF">
              <w:rPr>
                <w:bCs/>
                <w:color w:val="000000" w:themeColor="text1"/>
              </w:rPr>
              <w:t>;</w:t>
            </w:r>
            <w:r w:rsidR="00D47273">
              <w:rPr>
                <w:bCs/>
                <w:color w:val="000000" w:themeColor="text1"/>
              </w:rPr>
              <w:t xml:space="preserve"> </w:t>
            </w:r>
            <w:r w:rsidR="00642978" w:rsidRPr="00CF4C72">
              <w:rPr>
                <w:bCs/>
                <w:color w:val="000000" w:themeColor="text1"/>
              </w:rPr>
              <w:t>ISWG-GHG 13/4/</w:t>
            </w:r>
            <w:r w:rsidR="000D3490" w:rsidRPr="00CF4C72">
              <w:rPr>
                <w:bCs/>
                <w:color w:val="000000" w:themeColor="text1"/>
              </w:rPr>
              <w:t>7</w:t>
            </w:r>
            <w:r w:rsidR="00FD1AAF">
              <w:rPr>
                <w:color w:val="000000" w:themeColor="text1"/>
              </w:rPr>
              <w:t>;</w:t>
            </w:r>
            <w:r w:rsidR="000D3490" w:rsidRPr="00CF4C72">
              <w:rPr>
                <w:color w:val="000000" w:themeColor="text1"/>
              </w:rPr>
              <w:t xml:space="preserve"> </w:t>
            </w:r>
            <w:r w:rsidR="00B85954">
              <w:rPr>
                <w:color w:val="000000" w:themeColor="text1"/>
              </w:rPr>
              <w:t>I</w:t>
            </w:r>
            <w:r w:rsidR="00470A35" w:rsidRPr="00CF4C72">
              <w:rPr>
                <w:color w:val="000000" w:themeColor="text1"/>
              </w:rPr>
              <w:t xml:space="preserve">SWG </w:t>
            </w:r>
            <w:r w:rsidR="00886149">
              <w:rPr>
                <w:color w:val="000000" w:themeColor="text1"/>
              </w:rPr>
              <w:t>13</w:t>
            </w:r>
            <w:r w:rsidR="00470A35" w:rsidRPr="00CF4C72">
              <w:rPr>
                <w:color w:val="000000" w:themeColor="text1"/>
              </w:rPr>
              <w:t>/</w:t>
            </w:r>
            <w:r w:rsidR="00886149">
              <w:rPr>
                <w:color w:val="000000" w:themeColor="text1"/>
              </w:rPr>
              <w:t>4</w:t>
            </w:r>
            <w:r w:rsidR="00470A35" w:rsidRPr="00CF4C72">
              <w:rPr>
                <w:color w:val="000000" w:themeColor="text1"/>
              </w:rPr>
              <w:t>/</w:t>
            </w:r>
            <w:r w:rsidR="00886149">
              <w:rPr>
                <w:color w:val="000000" w:themeColor="text1"/>
              </w:rPr>
              <w:t>8</w:t>
            </w:r>
            <w:r w:rsidR="004E22E1">
              <w:rPr>
                <w:color w:val="000000" w:themeColor="text1"/>
              </w:rPr>
              <w:t xml:space="preserve"> </w:t>
            </w:r>
            <w:r w:rsidR="00470A35" w:rsidRPr="00CF4C72">
              <w:rPr>
                <w:color w:val="000000" w:themeColor="text1"/>
              </w:rPr>
              <w:t xml:space="preserve">and </w:t>
            </w:r>
            <w:r w:rsidR="00470A35" w:rsidRPr="00CF4C72">
              <w:rPr>
                <w:bCs/>
                <w:color w:val="000000" w:themeColor="text1"/>
              </w:rPr>
              <w:t>resolution MEPC.</w:t>
            </w:r>
            <w:r w:rsidR="00470A35">
              <w:rPr>
                <w:bCs/>
                <w:color w:val="000000" w:themeColor="text1"/>
              </w:rPr>
              <w:t>377</w:t>
            </w:r>
            <w:r w:rsidR="00470A35" w:rsidRPr="00CF4C72">
              <w:rPr>
                <w:bCs/>
                <w:color w:val="000000" w:themeColor="text1"/>
              </w:rPr>
              <w:t>(</w:t>
            </w:r>
            <w:r w:rsidR="00470A35">
              <w:rPr>
                <w:bCs/>
                <w:color w:val="000000" w:themeColor="text1"/>
              </w:rPr>
              <w:t>80</w:t>
            </w:r>
            <w:r w:rsidR="00470A35" w:rsidRPr="00CF4C72">
              <w:rPr>
                <w:bCs/>
                <w:color w:val="000000" w:themeColor="text1"/>
              </w:rPr>
              <w:t>)</w:t>
            </w:r>
          </w:p>
        </w:tc>
      </w:tr>
    </w:tbl>
    <w:p w14:paraId="303B82F2" w14:textId="77777777" w:rsidR="00380255" w:rsidRDefault="00380255" w:rsidP="00FD713A">
      <w:pPr>
        <w:tabs>
          <w:tab w:val="clear" w:pos="851"/>
        </w:tabs>
        <w:jc w:val="left"/>
        <w:rPr>
          <w:b/>
          <w:bCs/>
          <w:color w:val="000000" w:themeColor="text1"/>
        </w:rPr>
      </w:pPr>
    </w:p>
    <w:p w14:paraId="5D8A1CAD" w14:textId="2FBC29D7" w:rsidR="00FD713A" w:rsidRPr="000B6B92" w:rsidRDefault="000B6B92" w:rsidP="00FD713A">
      <w:pPr>
        <w:tabs>
          <w:tab w:val="clear" w:pos="851"/>
        </w:tabs>
        <w:jc w:val="left"/>
        <w:rPr>
          <w:b/>
          <w:bCs/>
          <w:color w:val="000000" w:themeColor="text1"/>
        </w:rPr>
      </w:pPr>
      <w:r w:rsidRPr="000B6B92">
        <w:rPr>
          <w:b/>
          <w:bCs/>
          <w:color w:val="000000" w:themeColor="text1"/>
        </w:rPr>
        <w:t xml:space="preserve">INTRODUCTION </w:t>
      </w:r>
    </w:p>
    <w:p w14:paraId="167AFE87" w14:textId="77777777" w:rsidR="00FD713A" w:rsidRPr="00CF4C72" w:rsidRDefault="00FD713A" w:rsidP="00FD713A">
      <w:pPr>
        <w:tabs>
          <w:tab w:val="clear" w:pos="851"/>
        </w:tabs>
        <w:rPr>
          <w:color w:val="000000" w:themeColor="text1"/>
        </w:rPr>
      </w:pPr>
    </w:p>
    <w:p w14:paraId="78A78FBC" w14:textId="132ADD63" w:rsidR="001E426E" w:rsidRDefault="00FD713A" w:rsidP="001E426E">
      <w:pPr>
        <w:tabs>
          <w:tab w:val="clear" w:pos="851"/>
        </w:tabs>
        <w:rPr>
          <w:color w:val="000000" w:themeColor="text1"/>
        </w:rPr>
      </w:pPr>
      <w:r w:rsidRPr="00CF4C72">
        <w:rPr>
          <w:color w:val="000000" w:themeColor="text1"/>
        </w:rPr>
        <w:t>1</w:t>
      </w:r>
      <w:r w:rsidRPr="00CF4C72">
        <w:rPr>
          <w:color w:val="000000" w:themeColor="text1"/>
        </w:rPr>
        <w:tab/>
      </w:r>
      <w:r w:rsidR="00A458B1">
        <w:rPr>
          <w:color w:val="000000" w:themeColor="text1"/>
        </w:rPr>
        <w:t>T</w:t>
      </w:r>
      <w:r w:rsidR="001E426E">
        <w:rPr>
          <w:color w:val="000000" w:themeColor="text1"/>
        </w:rPr>
        <w:t xml:space="preserve">he 2023 IMO Strategy for the reduction of GHG emissions from ships </w:t>
      </w:r>
      <w:r w:rsidR="00255C4B">
        <w:rPr>
          <w:color w:val="000000" w:themeColor="text1"/>
        </w:rPr>
        <w:t>(</w:t>
      </w:r>
      <w:r w:rsidR="005314D5">
        <w:rPr>
          <w:color w:val="000000" w:themeColor="text1"/>
        </w:rPr>
        <w:t xml:space="preserve">2023 GHG Strategy) </w:t>
      </w:r>
      <w:r w:rsidR="001E426E">
        <w:rPr>
          <w:color w:val="000000" w:themeColor="text1"/>
        </w:rPr>
        <w:t xml:space="preserve">identifies the development and finalisation of a mid-term measure(s) including </w:t>
      </w:r>
      <w:r w:rsidR="001E426E" w:rsidRPr="001E426E">
        <w:rPr>
          <w:color w:val="000000" w:themeColor="text1"/>
        </w:rPr>
        <w:t>a technical element, namely a goal-based marine fuel standard regulating</w:t>
      </w:r>
      <w:r w:rsidR="001E426E">
        <w:rPr>
          <w:color w:val="000000" w:themeColor="text1"/>
        </w:rPr>
        <w:t xml:space="preserve"> </w:t>
      </w:r>
      <w:r w:rsidR="001E426E" w:rsidRPr="001E426E">
        <w:rPr>
          <w:color w:val="000000" w:themeColor="text1"/>
        </w:rPr>
        <w:t>the phased reduction of the marine fuel's GHG intensity</w:t>
      </w:r>
      <w:r w:rsidR="001E426E">
        <w:rPr>
          <w:color w:val="000000" w:themeColor="text1"/>
        </w:rPr>
        <w:t xml:space="preserve"> (resolution MEPC.377(80), paragraph 4.5.1).</w:t>
      </w:r>
    </w:p>
    <w:p w14:paraId="64B77C78" w14:textId="6E2EFB95" w:rsidR="001E426E" w:rsidRDefault="001E426E" w:rsidP="001E426E">
      <w:pPr>
        <w:tabs>
          <w:tab w:val="clear" w:pos="851"/>
        </w:tabs>
        <w:rPr>
          <w:color w:val="000000" w:themeColor="text1"/>
        </w:rPr>
      </w:pPr>
    </w:p>
    <w:p w14:paraId="1B70AEF1" w14:textId="01CA8485" w:rsidR="006D64FB" w:rsidRDefault="001E426E" w:rsidP="001E426E">
      <w:pPr>
        <w:tabs>
          <w:tab w:val="clear" w:pos="851"/>
        </w:tabs>
        <w:rPr>
          <w:color w:val="000000" w:themeColor="text1"/>
        </w:rPr>
      </w:pPr>
      <w:r>
        <w:rPr>
          <w:color w:val="000000" w:themeColor="text1"/>
        </w:rPr>
        <w:t>2</w:t>
      </w:r>
      <w:r>
        <w:rPr>
          <w:color w:val="000000" w:themeColor="text1"/>
        </w:rPr>
        <w:tab/>
      </w:r>
      <w:r w:rsidR="00800FC6">
        <w:rPr>
          <w:color w:val="000000" w:themeColor="text1"/>
        </w:rPr>
        <w:t xml:space="preserve">Prior to MEPC </w:t>
      </w:r>
      <w:r w:rsidR="00E13C33">
        <w:rPr>
          <w:color w:val="000000" w:themeColor="text1"/>
        </w:rPr>
        <w:t xml:space="preserve">80, </w:t>
      </w:r>
      <w:r>
        <w:rPr>
          <w:color w:val="000000" w:themeColor="text1"/>
        </w:rPr>
        <w:t xml:space="preserve">ICS submitted </w:t>
      </w:r>
      <w:r w:rsidR="00714DC8">
        <w:rPr>
          <w:color w:val="000000" w:themeColor="text1"/>
        </w:rPr>
        <w:t>document ISWG</w:t>
      </w:r>
      <w:r w:rsidR="00EF557A">
        <w:rPr>
          <w:color w:val="000000" w:themeColor="text1"/>
        </w:rPr>
        <w:t>-GHG</w:t>
      </w:r>
      <w:r w:rsidR="00714DC8">
        <w:rPr>
          <w:color w:val="000000" w:themeColor="text1"/>
        </w:rPr>
        <w:t xml:space="preserve"> 15/3/6 </w:t>
      </w:r>
      <w:r w:rsidR="004B5F2F">
        <w:rPr>
          <w:color w:val="000000" w:themeColor="text1"/>
        </w:rPr>
        <w:t xml:space="preserve">providing possible draft amendments to MARPOL Annex VI to implement a Global GHG Fuel Standard </w:t>
      </w:r>
      <w:r w:rsidR="00586CE0">
        <w:rPr>
          <w:color w:val="000000" w:themeColor="text1"/>
        </w:rPr>
        <w:t xml:space="preserve">(GFS) </w:t>
      </w:r>
      <w:r w:rsidR="00714DC8">
        <w:rPr>
          <w:color w:val="000000" w:themeColor="text1"/>
        </w:rPr>
        <w:t>for consideration</w:t>
      </w:r>
      <w:r w:rsidR="00CD2C80">
        <w:rPr>
          <w:color w:val="000000" w:themeColor="text1"/>
        </w:rPr>
        <w:t xml:space="preserve"> (MEPC 80/WP.7, paragraph 72.7)</w:t>
      </w:r>
      <w:r w:rsidR="004B5F2F">
        <w:rPr>
          <w:color w:val="000000" w:themeColor="text1"/>
        </w:rPr>
        <w:t xml:space="preserve">. </w:t>
      </w:r>
    </w:p>
    <w:p w14:paraId="7578C815" w14:textId="77777777" w:rsidR="00504584" w:rsidRDefault="00504584" w:rsidP="001E426E">
      <w:pPr>
        <w:tabs>
          <w:tab w:val="clear" w:pos="851"/>
        </w:tabs>
        <w:rPr>
          <w:color w:val="000000" w:themeColor="text1"/>
        </w:rPr>
      </w:pPr>
    </w:p>
    <w:p w14:paraId="580ED1D2" w14:textId="6DE8E84A" w:rsidR="000D426A" w:rsidRDefault="00504584" w:rsidP="001E426E">
      <w:pPr>
        <w:tabs>
          <w:tab w:val="clear" w:pos="851"/>
        </w:tabs>
        <w:rPr>
          <w:color w:val="000000" w:themeColor="text1"/>
        </w:rPr>
      </w:pPr>
      <w:r>
        <w:rPr>
          <w:color w:val="000000" w:themeColor="text1"/>
        </w:rPr>
        <w:t>3</w:t>
      </w:r>
      <w:r>
        <w:rPr>
          <w:color w:val="000000" w:themeColor="text1"/>
        </w:rPr>
        <w:tab/>
        <w:t xml:space="preserve">In this </w:t>
      </w:r>
      <w:r w:rsidR="00192EEA">
        <w:rPr>
          <w:color w:val="000000" w:themeColor="text1"/>
        </w:rPr>
        <w:t xml:space="preserve">new </w:t>
      </w:r>
      <w:r>
        <w:rPr>
          <w:color w:val="000000" w:themeColor="text1"/>
        </w:rPr>
        <w:t xml:space="preserve">document, </w:t>
      </w:r>
      <w:r w:rsidR="00601B0F" w:rsidRPr="00C74F2E">
        <w:t>the co-sponsors</w:t>
      </w:r>
      <w:r w:rsidRPr="00C74F2E">
        <w:t xml:space="preserve"> </w:t>
      </w:r>
      <w:r>
        <w:rPr>
          <w:color w:val="000000" w:themeColor="text1"/>
        </w:rPr>
        <w:t xml:space="preserve">set out, at annex, possible revised draft amendments to MARPOL Annex VI to implement a simplified GFS in terms of </w:t>
      </w:r>
      <w:r w:rsidRPr="00CF4C72">
        <w:rPr>
          <w:color w:val="000000" w:themeColor="text1"/>
        </w:rPr>
        <w:t>GHG Fuel Intensity (</w:t>
      </w:r>
      <w:r>
        <w:rPr>
          <w:color w:val="000000" w:themeColor="text1"/>
        </w:rPr>
        <w:t>“</w:t>
      </w:r>
      <w:r w:rsidRPr="00CF4C72">
        <w:rPr>
          <w:color w:val="000000" w:themeColor="text1"/>
        </w:rPr>
        <w:t>Required GFI</w:t>
      </w:r>
      <w:r>
        <w:rPr>
          <w:color w:val="000000" w:themeColor="text1"/>
        </w:rPr>
        <w:t>”</w:t>
      </w:r>
      <w:r w:rsidRPr="00CF4C72">
        <w:rPr>
          <w:color w:val="000000" w:themeColor="text1"/>
        </w:rPr>
        <w:t>) of energy used on board</w:t>
      </w:r>
      <w:r w:rsidRPr="00CF4C72">
        <w:rPr>
          <w:rFonts w:cs="Arial"/>
          <w:color w:val="000000" w:themeColor="text1"/>
          <w:szCs w:val="22"/>
        </w:rPr>
        <w:t xml:space="preserve"> the ship (gCO</w:t>
      </w:r>
      <w:r w:rsidRPr="00CF4C72">
        <w:rPr>
          <w:rFonts w:cs="Arial"/>
          <w:color w:val="000000" w:themeColor="text1"/>
          <w:szCs w:val="22"/>
          <w:vertAlign w:val="subscript"/>
        </w:rPr>
        <w:t>2e</w:t>
      </w:r>
      <w:r w:rsidRPr="00CF4C72">
        <w:rPr>
          <w:rFonts w:cs="Arial"/>
          <w:color w:val="000000" w:themeColor="text1"/>
          <w:szCs w:val="22"/>
        </w:rPr>
        <w:t>/MJ)</w:t>
      </w:r>
      <w:r>
        <w:rPr>
          <w:color w:val="000000" w:themeColor="text1"/>
        </w:rPr>
        <w:t xml:space="preserve"> for further consideration. </w:t>
      </w:r>
    </w:p>
    <w:p w14:paraId="30E6785F" w14:textId="77777777" w:rsidR="0077265B" w:rsidRDefault="0077265B" w:rsidP="001E426E">
      <w:pPr>
        <w:tabs>
          <w:tab w:val="clear" w:pos="851"/>
        </w:tabs>
        <w:rPr>
          <w:color w:val="000000" w:themeColor="text1"/>
        </w:rPr>
      </w:pPr>
    </w:p>
    <w:p w14:paraId="1129C578" w14:textId="36589665" w:rsidR="00D4781A" w:rsidRDefault="00504584" w:rsidP="001E426E">
      <w:pPr>
        <w:tabs>
          <w:tab w:val="clear" w:pos="851"/>
        </w:tabs>
        <w:rPr>
          <w:color w:val="000000" w:themeColor="text1"/>
        </w:rPr>
      </w:pPr>
      <w:r>
        <w:rPr>
          <w:color w:val="000000" w:themeColor="text1"/>
        </w:rPr>
        <w:t>4</w:t>
      </w:r>
      <w:r w:rsidR="006D64FB">
        <w:rPr>
          <w:color w:val="000000" w:themeColor="text1"/>
        </w:rPr>
        <w:tab/>
      </w:r>
      <w:r w:rsidR="004B5F2F">
        <w:rPr>
          <w:color w:val="000000" w:themeColor="text1"/>
        </w:rPr>
        <w:t xml:space="preserve">Noting the levels of ambition </w:t>
      </w:r>
      <w:r w:rsidR="0077265B">
        <w:rPr>
          <w:color w:val="000000" w:themeColor="text1"/>
        </w:rPr>
        <w:t xml:space="preserve">and indicative checkpoints </w:t>
      </w:r>
      <w:r w:rsidR="004B5F2F">
        <w:rPr>
          <w:color w:val="000000" w:themeColor="text1"/>
        </w:rPr>
        <w:t xml:space="preserve">set out in the 2023 GHG Strategy, including the uptake of zero or near-zero GHG emission technologies, fuels and/or energy sources to represent at least 5%, striving for 10%, of the energy used by international shipping by 2030, </w:t>
      </w:r>
      <w:r w:rsidR="00C24BA7">
        <w:rPr>
          <w:color w:val="000000" w:themeColor="text1"/>
        </w:rPr>
        <w:t xml:space="preserve">the co-sponsors </w:t>
      </w:r>
      <w:r w:rsidR="004B5F2F">
        <w:rPr>
          <w:color w:val="000000" w:themeColor="text1"/>
        </w:rPr>
        <w:t xml:space="preserve">recognise the need for maximum flexibility for achieving compliance with the </w:t>
      </w:r>
      <w:r w:rsidR="00F5214B">
        <w:rPr>
          <w:color w:val="000000" w:themeColor="text1"/>
        </w:rPr>
        <w:t>GFS</w:t>
      </w:r>
      <w:r w:rsidR="00187E30">
        <w:rPr>
          <w:color w:val="000000" w:themeColor="text1"/>
        </w:rPr>
        <w:t>, as proposed in documents ISWG-GHG 13/4/7 and ISWG-GHG 15/3/4</w:t>
      </w:r>
      <w:r w:rsidR="008B75BF">
        <w:rPr>
          <w:color w:val="000000" w:themeColor="text1"/>
        </w:rPr>
        <w:t xml:space="preserve"> </w:t>
      </w:r>
      <w:r w:rsidR="00AB513E">
        <w:rPr>
          <w:color w:val="000000" w:themeColor="text1"/>
        </w:rPr>
        <w:t>(</w:t>
      </w:r>
      <w:r w:rsidR="00861F6B">
        <w:rPr>
          <w:color w:val="000000" w:themeColor="text1"/>
        </w:rPr>
        <w:t xml:space="preserve">both by </w:t>
      </w:r>
      <w:r w:rsidR="00AB513E">
        <w:rPr>
          <w:color w:val="000000" w:themeColor="text1"/>
        </w:rPr>
        <w:t>Austria et</w:t>
      </w:r>
      <w:r w:rsidR="003D3A36">
        <w:rPr>
          <w:color w:val="000000" w:themeColor="text1"/>
        </w:rPr>
        <w:t xml:space="preserve"> al</w:t>
      </w:r>
      <w:r w:rsidR="000B2402">
        <w:rPr>
          <w:color w:val="000000" w:themeColor="text1"/>
        </w:rPr>
        <w:t>.</w:t>
      </w:r>
      <w:r w:rsidR="00AB513E">
        <w:rPr>
          <w:color w:val="000000" w:themeColor="text1"/>
        </w:rPr>
        <w:t>)</w:t>
      </w:r>
      <w:r w:rsidR="002C2DFA">
        <w:rPr>
          <w:color w:val="000000" w:themeColor="text1"/>
        </w:rPr>
        <w:t xml:space="preserve">. </w:t>
      </w:r>
    </w:p>
    <w:p w14:paraId="4F8E1726" w14:textId="77777777" w:rsidR="00D4781A" w:rsidRDefault="00D4781A" w:rsidP="001E426E">
      <w:pPr>
        <w:tabs>
          <w:tab w:val="clear" w:pos="851"/>
        </w:tabs>
        <w:rPr>
          <w:color w:val="000000" w:themeColor="text1"/>
        </w:rPr>
      </w:pPr>
    </w:p>
    <w:p w14:paraId="7EDBBE8D" w14:textId="361CF933" w:rsidR="004B5F2F" w:rsidRDefault="00D4781A" w:rsidP="001E426E">
      <w:pPr>
        <w:tabs>
          <w:tab w:val="clear" w:pos="851"/>
        </w:tabs>
        <w:rPr>
          <w:color w:val="000000" w:themeColor="text1"/>
        </w:rPr>
      </w:pPr>
      <w:r>
        <w:rPr>
          <w:color w:val="000000" w:themeColor="text1"/>
        </w:rPr>
        <w:t>5</w:t>
      </w:r>
      <w:r>
        <w:rPr>
          <w:color w:val="000000" w:themeColor="text1"/>
        </w:rPr>
        <w:tab/>
      </w:r>
      <w:r w:rsidR="0084043B">
        <w:rPr>
          <w:color w:val="000000" w:themeColor="text1"/>
        </w:rPr>
        <w:t xml:space="preserve">To support this </w:t>
      </w:r>
      <w:r>
        <w:rPr>
          <w:color w:val="000000" w:themeColor="text1"/>
        </w:rPr>
        <w:t xml:space="preserve">flexible </w:t>
      </w:r>
      <w:r w:rsidR="0084043B">
        <w:rPr>
          <w:color w:val="000000" w:themeColor="text1"/>
        </w:rPr>
        <w:t xml:space="preserve">approach, </w:t>
      </w:r>
      <w:r w:rsidR="00601B0F">
        <w:rPr>
          <w:color w:val="000000" w:themeColor="text1"/>
        </w:rPr>
        <w:t xml:space="preserve">the co-sponsors </w:t>
      </w:r>
      <w:r w:rsidR="00DA368C">
        <w:rPr>
          <w:color w:val="000000" w:themeColor="text1"/>
        </w:rPr>
        <w:t xml:space="preserve">therefore </w:t>
      </w:r>
      <w:r w:rsidR="00F60B69">
        <w:rPr>
          <w:color w:val="000000" w:themeColor="text1"/>
        </w:rPr>
        <w:t xml:space="preserve">now </w:t>
      </w:r>
      <w:r w:rsidR="00187E30">
        <w:rPr>
          <w:color w:val="000000" w:themeColor="text1"/>
        </w:rPr>
        <w:t xml:space="preserve">provide </w:t>
      </w:r>
      <w:r w:rsidR="00C42B8E">
        <w:rPr>
          <w:color w:val="000000" w:themeColor="text1"/>
        </w:rPr>
        <w:t xml:space="preserve">some </w:t>
      </w:r>
      <w:r w:rsidR="00187E30">
        <w:rPr>
          <w:color w:val="000000" w:themeColor="text1"/>
        </w:rPr>
        <w:t xml:space="preserve">possible </w:t>
      </w:r>
      <w:r w:rsidR="00F60B69">
        <w:rPr>
          <w:color w:val="000000" w:themeColor="text1"/>
        </w:rPr>
        <w:t xml:space="preserve">additional </w:t>
      </w:r>
      <w:r w:rsidR="009754C9">
        <w:rPr>
          <w:color w:val="000000" w:themeColor="text1"/>
        </w:rPr>
        <w:t xml:space="preserve">draft regulatory </w:t>
      </w:r>
      <w:r w:rsidR="00187E30">
        <w:rPr>
          <w:color w:val="000000" w:themeColor="text1"/>
        </w:rPr>
        <w:t xml:space="preserve">provisions </w:t>
      </w:r>
      <w:r w:rsidR="00C42B8E">
        <w:rPr>
          <w:color w:val="000000" w:themeColor="text1"/>
        </w:rPr>
        <w:t xml:space="preserve">concerning </w:t>
      </w:r>
      <w:r w:rsidR="00903616">
        <w:rPr>
          <w:color w:val="000000" w:themeColor="text1"/>
        </w:rPr>
        <w:t>a</w:t>
      </w:r>
      <w:r w:rsidR="00C73599">
        <w:rPr>
          <w:color w:val="000000" w:themeColor="text1"/>
        </w:rPr>
        <w:t xml:space="preserve"> voluntary</w:t>
      </w:r>
      <w:r w:rsidR="00903616">
        <w:rPr>
          <w:color w:val="000000" w:themeColor="text1"/>
        </w:rPr>
        <w:t xml:space="preserve"> “energy </w:t>
      </w:r>
      <w:r w:rsidR="00C42B8E">
        <w:rPr>
          <w:color w:val="000000" w:themeColor="text1"/>
        </w:rPr>
        <w:t>pool</w:t>
      </w:r>
      <w:r w:rsidR="006C1A86">
        <w:rPr>
          <w:color w:val="000000" w:themeColor="text1"/>
        </w:rPr>
        <w:t>ing</w:t>
      </w:r>
      <w:r w:rsidR="00C42B8E">
        <w:rPr>
          <w:color w:val="000000" w:themeColor="text1"/>
        </w:rPr>
        <w:t xml:space="preserve"> compliance mechanism</w:t>
      </w:r>
      <w:r w:rsidR="00903616">
        <w:rPr>
          <w:color w:val="000000" w:themeColor="text1"/>
        </w:rPr>
        <w:t>”</w:t>
      </w:r>
      <w:r w:rsidR="00C42B8E">
        <w:rPr>
          <w:color w:val="000000" w:themeColor="text1"/>
        </w:rPr>
        <w:t xml:space="preserve"> </w:t>
      </w:r>
      <w:r w:rsidR="00187E30">
        <w:rPr>
          <w:color w:val="000000" w:themeColor="text1"/>
        </w:rPr>
        <w:t xml:space="preserve">but </w:t>
      </w:r>
      <w:r w:rsidR="00860E5A">
        <w:rPr>
          <w:color w:val="000000" w:themeColor="text1"/>
        </w:rPr>
        <w:t>which is intended to entail</w:t>
      </w:r>
      <w:r w:rsidR="00187E30">
        <w:rPr>
          <w:color w:val="000000" w:themeColor="text1"/>
        </w:rPr>
        <w:t xml:space="preserve"> a significantly reduced administrative burden for </w:t>
      </w:r>
      <w:r w:rsidR="009F195F">
        <w:rPr>
          <w:color w:val="000000" w:themeColor="text1"/>
        </w:rPr>
        <w:t>the Organization</w:t>
      </w:r>
      <w:r w:rsidR="00E244BC">
        <w:rPr>
          <w:color w:val="000000" w:themeColor="text1"/>
        </w:rPr>
        <w:t xml:space="preserve">, </w:t>
      </w:r>
      <w:r w:rsidR="00187E30">
        <w:rPr>
          <w:color w:val="000000" w:themeColor="text1"/>
        </w:rPr>
        <w:t>flag States and ships</w:t>
      </w:r>
      <w:r w:rsidR="00617710">
        <w:rPr>
          <w:color w:val="000000" w:themeColor="text1"/>
        </w:rPr>
        <w:t xml:space="preserve"> compared to other proposal</w:t>
      </w:r>
      <w:r w:rsidR="006D67D5">
        <w:rPr>
          <w:color w:val="000000" w:themeColor="text1"/>
        </w:rPr>
        <w:t>s</w:t>
      </w:r>
      <w:r w:rsidR="00617710">
        <w:rPr>
          <w:color w:val="000000" w:themeColor="text1"/>
        </w:rPr>
        <w:t>,</w:t>
      </w:r>
      <w:r w:rsidR="00020F77">
        <w:rPr>
          <w:color w:val="000000" w:themeColor="text1"/>
        </w:rPr>
        <w:t xml:space="preserve"> which is </w:t>
      </w:r>
      <w:r w:rsidR="0058731E">
        <w:rPr>
          <w:color w:val="000000" w:themeColor="text1"/>
        </w:rPr>
        <w:t xml:space="preserve">an </w:t>
      </w:r>
      <w:r w:rsidR="00020F77">
        <w:rPr>
          <w:color w:val="000000" w:themeColor="text1"/>
        </w:rPr>
        <w:t xml:space="preserve">issue of importance to </w:t>
      </w:r>
      <w:r w:rsidR="006D67D5">
        <w:rPr>
          <w:color w:val="000000" w:themeColor="text1"/>
        </w:rPr>
        <w:t xml:space="preserve">many </w:t>
      </w:r>
      <w:r w:rsidR="00020F77">
        <w:rPr>
          <w:color w:val="000000" w:themeColor="text1"/>
        </w:rPr>
        <w:t>developing countries</w:t>
      </w:r>
      <w:r w:rsidR="0058731E">
        <w:rPr>
          <w:color w:val="000000" w:themeColor="text1"/>
        </w:rPr>
        <w:t>,</w:t>
      </w:r>
      <w:r w:rsidR="00020F77">
        <w:rPr>
          <w:color w:val="000000" w:themeColor="text1"/>
        </w:rPr>
        <w:t xml:space="preserve"> in particular </w:t>
      </w:r>
      <w:r w:rsidR="006D67D5">
        <w:rPr>
          <w:color w:val="000000" w:themeColor="text1"/>
        </w:rPr>
        <w:t>LDCs and SIDS.</w:t>
      </w:r>
      <w:r w:rsidR="004B5F2F" w:rsidDel="00714DC8">
        <w:rPr>
          <w:color w:val="000000" w:themeColor="text1"/>
        </w:rPr>
        <w:t xml:space="preserve"> </w:t>
      </w:r>
    </w:p>
    <w:p w14:paraId="4654A355" w14:textId="77777777" w:rsidR="0074262E" w:rsidRDefault="0074262E" w:rsidP="008D2EFE">
      <w:pPr>
        <w:tabs>
          <w:tab w:val="clear" w:pos="851"/>
        </w:tabs>
        <w:rPr>
          <w:color w:val="000000" w:themeColor="text1"/>
        </w:rPr>
      </w:pPr>
    </w:p>
    <w:p w14:paraId="41EE48D2" w14:textId="7E7E6FEC" w:rsidR="00EA4133" w:rsidRDefault="000F4855" w:rsidP="00EA4133">
      <w:pPr>
        <w:tabs>
          <w:tab w:val="clear" w:pos="851"/>
        </w:tabs>
        <w:rPr>
          <w:color w:val="000000" w:themeColor="text1"/>
        </w:rPr>
      </w:pPr>
      <w:r>
        <w:rPr>
          <w:color w:val="000000" w:themeColor="text1"/>
        </w:rPr>
        <w:t>6</w:t>
      </w:r>
      <w:r w:rsidR="00A220EA">
        <w:rPr>
          <w:color w:val="000000" w:themeColor="text1"/>
        </w:rPr>
        <w:tab/>
      </w:r>
      <w:r w:rsidR="0074262E">
        <w:rPr>
          <w:color w:val="000000" w:themeColor="text1"/>
        </w:rPr>
        <w:t xml:space="preserve">As explained below, the simplified GFS suggested by </w:t>
      </w:r>
      <w:r w:rsidR="00C24BA7">
        <w:rPr>
          <w:color w:val="000000" w:themeColor="text1"/>
        </w:rPr>
        <w:t>the co-sponsors</w:t>
      </w:r>
      <w:r w:rsidR="00281C31">
        <w:rPr>
          <w:color w:val="000000" w:themeColor="text1"/>
        </w:rPr>
        <w:t xml:space="preserve">, which does </w:t>
      </w:r>
      <w:r w:rsidR="00EE1C8B">
        <w:rPr>
          <w:color w:val="000000" w:themeColor="text1"/>
        </w:rPr>
        <w:t xml:space="preserve">not make </w:t>
      </w:r>
      <w:r w:rsidR="00281C31">
        <w:rPr>
          <w:color w:val="000000" w:themeColor="text1"/>
        </w:rPr>
        <w:t xml:space="preserve">use </w:t>
      </w:r>
      <w:r w:rsidR="003D7E5F">
        <w:rPr>
          <w:color w:val="000000" w:themeColor="text1"/>
        </w:rPr>
        <w:t xml:space="preserve">of </w:t>
      </w:r>
      <w:r w:rsidR="00281C31">
        <w:rPr>
          <w:color w:val="000000" w:themeColor="text1"/>
        </w:rPr>
        <w:t xml:space="preserve">the IMO Fuel Oil </w:t>
      </w:r>
      <w:r w:rsidR="00EE1C8B">
        <w:rPr>
          <w:color w:val="000000" w:themeColor="text1"/>
        </w:rPr>
        <w:t xml:space="preserve">Data </w:t>
      </w:r>
      <w:r w:rsidR="00D7182F">
        <w:rPr>
          <w:color w:val="000000" w:themeColor="text1"/>
        </w:rPr>
        <w:t>Collection System</w:t>
      </w:r>
      <w:r w:rsidR="00724C00">
        <w:rPr>
          <w:color w:val="000000" w:themeColor="text1"/>
        </w:rPr>
        <w:t xml:space="preserve"> (DC</w:t>
      </w:r>
      <w:r w:rsidR="00BC1985">
        <w:rPr>
          <w:color w:val="000000" w:themeColor="text1"/>
        </w:rPr>
        <w:t>S</w:t>
      </w:r>
      <w:r w:rsidR="00724C00">
        <w:rPr>
          <w:color w:val="000000" w:themeColor="text1"/>
        </w:rPr>
        <w:t>)</w:t>
      </w:r>
      <w:r w:rsidR="00D7182F">
        <w:rPr>
          <w:color w:val="000000" w:themeColor="text1"/>
        </w:rPr>
        <w:t>, makes it possible</w:t>
      </w:r>
      <w:r w:rsidR="00FA356F">
        <w:rPr>
          <w:color w:val="000000" w:themeColor="text1"/>
        </w:rPr>
        <w:t xml:space="preserve"> – </w:t>
      </w:r>
      <w:r w:rsidR="00D7182F">
        <w:rPr>
          <w:color w:val="000000" w:themeColor="text1"/>
        </w:rPr>
        <w:t xml:space="preserve">should </w:t>
      </w:r>
      <w:r w:rsidR="007E5F8E">
        <w:rPr>
          <w:color w:val="000000" w:themeColor="text1"/>
        </w:rPr>
        <w:t>the MEPC so decide</w:t>
      </w:r>
      <w:r w:rsidR="00FA356F">
        <w:rPr>
          <w:color w:val="000000" w:themeColor="text1"/>
        </w:rPr>
        <w:t xml:space="preserve"> – </w:t>
      </w:r>
      <w:r w:rsidR="00DF5D3E">
        <w:rPr>
          <w:color w:val="000000" w:themeColor="text1"/>
        </w:rPr>
        <w:t xml:space="preserve">to </w:t>
      </w:r>
      <w:r w:rsidR="00EA4133">
        <w:rPr>
          <w:color w:val="000000" w:themeColor="text1"/>
        </w:rPr>
        <w:t xml:space="preserve">extend the </w:t>
      </w:r>
      <w:r w:rsidR="00DF5D3E">
        <w:rPr>
          <w:color w:val="000000" w:themeColor="text1"/>
        </w:rPr>
        <w:t>application of the GFS</w:t>
      </w:r>
      <w:r w:rsidR="00A54427">
        <w:rPr>
          <w:color w:val="000000" w:themeColor="text1"/>
        </w:rPr>
        <w:t xml:space="preserve"> </w:t>
      </w:r>
      <w:r w:rsidR="00EA4133" w:rsidRPr="00675BC5">
        <w:rPr>
          <w:color w:val="000000" w:themeColor="text1"/>
        </w:rPr>
        <w:t>to ships of 400 GT and above</w:t>
      </w:r>
      <w:r w:rsidR="00A54427">
        <w:rPr>
          <w:color w:val="000000" w:themeColor="text1"/>
        </w:rPr>
        <w:t xml:space="preserve">, </w:t>
      </w:r>
      <w:r w:rsidR="00F46B87">
        <w:rPr>
          <w:color w:val="000000" w:themeColor="text1"/>
        </w:rPr>
        <w:t xml:space="preserve">consistent </w:t>
      </w:r>
      <w:r w:rsidR="00A54427" w:rsidRPr="005D687E">
        <w:rPr>
          <w:color w:val="000000" w:themeColor="text1"/>
        </w:rPr>
        <w:t>with other provisions for fuel standards under MARPOL Annex VI</w:t>
      </w:r>
      <w:r w:rsidR="00A54427">
        <w:rPr>
          <w:color w:val="000000" w:themeColor="text1"/>
        </w:rPr>
        <w:t>.</w:t>
      </w:r>
    </w:p>
    <w:p w14:paraId="0C404C70" w14:textId="77777777" w:rsidR="00FD6B27" w:rsidRDefault="00FD6B27" w:rsidP="00FD6B27">
      <w:pPr>
        <w:tabs>
          <w:tab w:val="clear" w:pos="851"/>
        </w:tabs>
        <w:rPr>
          <w:color w:val="000000" w:themeColor="text1"/>
        </w:rPr>
      </w:pPr>
    </w:p>
    <w:p w14:paraId="1A371B1E" w14:textId="77777777" w:rsidR="00FD6B27" w:rsidRDefault="00FD6B27" w:rsidP="00FD6B27">
      <w:pPr>
        <w:tabs>
          <w:tab w:val="clear" w:pos="851"/>
        </w:tabs>
        <w:rPr>
          <w:b/>
          <w:bCs/>
          <w:color w:val="000000" w:themeColor="text1"/>
        </w:rPr>
      </w:pPr>
      <w:r>
        <w:rPr>
          <w:b/>
          <w:bCs/>
          <w:color w:val="000000" w:themeColor="text1"/>
        </w:rPr>
        <w:t xml:space="preserve">DISCUSSION </w:t>
      </w:r>
    </w:p>
    <w:p w14:paraId="10E8FAA4" w14:textId="77777777" w:rsidR="000C561E" w:rsidRDefault="000C561E" w:rsidP="000434D8">
      <w:pPr>
        <w:tabs>
          <w:tab w:val="clear" w:pos="851"/>
        </w:tabs>
        <w:rPr>
          <w:color w:val="000000" w:themeColor="text1"/>
        </w:rPr>
      </w:pPr>
    </w:p>
    <w:p w14:paraId="5DCE0CB9" w14:textId="0BEC5C55" w:rsidR="00D86B61" w:rsidRDefault="006743DD" w:rsidP="000434D8">
      <w:pPr>
        <w:tabs>
          <w:tab w:val="clear" w:pos="851"/>
        </w:tabs>
      </w:pPr>
      <w:r>
        <w:t>7</w:t>
      </w:r>
      <w:r w:rsidR="000C561E">
        <w:t xml:space="preserve"> </w:t>
      </w:r>
      <w:r w:rsidR="006A52F1">
        <w:tab/>
      </w:r>
      <w:r w:rsidR="000C561E">
        <w:t>Documents ISWG-GHG 13/4/7 and ISWG-GHG 13/4/8 (Austria et al.) contain</w:t>
      </w:r>
      <w:r w:rsidR="006A52F1">
        <w:t>ed</w:t>
      </w:r>
      <w:r w:rsidR="000C561E">
        <w:t xml:space="preserve"> further information about a proposal for a GFS as a technical measure within a basket of mid-term measures comprising also a</w:t>
      </w:r>
      <w:r w:rsidR="0040522B">
        <w:t xml:space="preserve"> separate </w:t>
      </w:r>
      <w:r w:rsidR="00721269">
        <w:t xml:space="preserve"> </w:t>
      </w:r>
      <w:r w:rsidR="000C561E">
        <w:t>economic measure</w:t>
      </w:r>
      <w:r w:rsidR="00721269">
        <w:t xml:space="preserve"> using a </w:t>
      </w:r>
      <w:r w:rsidR="00821E8B">
        <w:t>(“levy-based”</w:t>
      </w:r>
      <w:r w:rsidR="0092320E">
        <w:t>)</w:t>
      </w:r>
      <w:r w:rsidR="00821E8B">
        <w:t xml:space="preserve"> </w:t>
      </w:r>
      <w:r w:rsidR="00721269">
        <w:t xml:space="preserve">flat rate </w:t>
      </w:r>
      <w:r w:rsidR="005B2C47">
        <w:t>contribution by ships to an IMO fund</w:t>
      </w:r>
      <w:r w:rsidR="000C561E">
        <w:t xml:space="preserve"> </w:t>
      </w:r>
      <w:r w:rsidR="005B2C47">
        <w:t xml:space="preserve">based on GHG emissions. </w:t>
      </w:r>
      <w:r w:rsidR="008A2BE5">
        <w:t>Austria et al</w:t>
      </w:r>
      <w:r w:rsidR="00332B6F">
        <w:t>.</w:t>
      </w:r>
      <w:r w:rsidR="008A2BE5">
        <w:t xml:space="preserve"> </w:t>
      </w:r>
      <w:r w:rsidR="009E4832">
        <w:t xml:space="preserve">further </w:t>
      </w:r>
      <w:r w:rsidR="008A2BE5">
        <w:t>elaborated on this proposal</w:t>
      </w:r>
      <w:r w:rsidR="00543254">
        <w:t xml:space="preserve"> in documents ISWG-GHG 15/3/1 and </w:t>
      </w:r>
      <w:r w:rsidR="00332B6F">
        <w:t>15</w:t>
      </w:r>
      <w:r w:rsidR="00543254">
        <w:t>/3/2</w:t>
      </w:r>
      <w:r w:rsidR="005A0714">
        <w:t>. I</w:t>
      </w:r>
      <w:r w:rsidR="00193D1B">
        <w:t>n addition to the proposal for a simplified GFS</w:t>
      </w:r>
      <w:r w:rsidR="00C83D9A">
        <w:t xml:space="preserve"> presented </w:t>
      </w:r>
      <w:r w:rsidR="00C24BA7">
        <w:t xml:space="preserve">previously </w:t>
      </w:r>
      <w:r w:rsidR="00C83D9A">
        <w:t>by ICS</w:t>
      </w:r>
      <w:r w:rsidR="00C33B2C">
        <w:t xml:space="preserve"> in document </w:t>
      </w:r>
      <w:r w:rsidR="00FF59F2">
        <w:t>ISWG-GHG 15/3/6</w:t>
      </w:r>
      <w:r w:rsidR="00866DE3">
        <w:t xml:space="preserve">, </w:t>
      </w:r>
      <w:r w:rsidR="00B75492">
        <w:t xml:space="preserve">document </w:t>
      </w:r>
      <w:r w:rsidR="00FB6137">
        <w:t>ISWG-GHG 15/3/4 (</w:t>
      </w:r>
      <w:r w:rsidR="00332B6F">
        <w:t>China</w:t>
      </w:r>
      <w:r w:rsidR="00FB6137">
        <w:t>)</w:t>
      </w:r>
      <w:r w:rsidR="00670B08">
        <w:t xml:space="preserve"> </w:t>
      </w:r>
      <w:r w:rsidR="00C83D9A">
        <w:t>suggested</w:t>
      </w:r>
      <w:r w:rsidR="00FB6137">
        <w:t xml:space="preserve"> combining a GFS</w:t>
      </w:r>
      <w:r w:rsidR="00F13D59">
        <w:t xml:space="preserve"> with economic elements with</w:t>
      </w:r>
      <w:r w:rsidR="00584520">
        <w:t>in</w:t>
      </w:r>
      <w:r w:rsidR="00F13D59">
        <w:t xml:space="preserve"> </w:t>
      </w:r>
      <w:r w:rsidR="002C08F7">
        <w:t xml:space="preserve">a </w:t>
      </w:r>
      <w:r w:rsidR="00F13D59">
        <w:t>single measure</w:t>
      </w:r>
      <w:r w:rsidR="005A23DD">
        <w:t xml:space="preserve"> (</w:t>
      </w:r>
      <w:r w:rsidR="00C96DBC">
        <w:t>suggesting</w:t>
      </w:r>
      <w:r w:rsidR="008E1582">
        <w:t xml:space="preserve"> that </w:t>
      </w:r>
      <w:r w:rsidR="000E6F9E">
        <w:t xml:space="preserve">a </w:t>
      </w:r>
      <w:r w:rsidR="008E1582">
        <w:t>separate</w:t>
      </w:r>
      <w:r w:rsidR="000E6F9E">
        <w:t xml:space="preserve"> economic measure</w:t>
      </w:r>
      <w:r w:rsidR="00270130">
        <w:t xml:space="preserve"> </w:t>
      </w:r>
      <w:r w:rsidR="000E6F9E">
        <w:t xml:space="preserve">such as a </w:t>
      </w:r>
      <w:r w:rsidR="0033303C">
        <w:t xml:space="preserve">flat rate contribution by ships to </w:t>
      </w:r>
      <w:r w:rsidR="003F3ABB">
        <w:t xml:space="preserve">an </w:t>
      </w:r>
      <w:r w:rsidR="003B545C">
        <w:t xml:space="preserve">IMO fund </w:t>
      </w:r>
      <w:r w:rsidR="009C512F">
        <w:t xml:space="preserve">based on GHG emissions </w:t>
      </w:r>
      <w:r w:rsidR="003B545C">
        <w:t xml:space="preserve">would </w:t>
      </w:r>
      <w:r w:rsidR="00C96DBC">
        <w:t xml:space="preserve">therefore </w:t>
      </w:r>
      <w:r w:rsidR="003B545C">
        <w:t>be unnecessary</w:t>
      </w:r>
      <w:r w:rsidR="005A23DD">
        <w:t>)</w:t>
      </w:r>
      <w:r w:rsidR="00853A59">
        <w:t>.</w:t>
      </w:r>
      <w:r w:rsidR="003B545C">
        <w:t xml:space="preserve"> </w:t>
      </w:r>
      <w:r w:rsidR="008E1582">
        <w:t xml:space="preserve"> </w:t>
      </w:r>
      <w:r w:rsidR="00C83D9A">
        <w:t xml:space="preserve"> </w:t>
      </w:r>
      <w:r w:rsidR="00670B08">
        <w:t xml:space="preserve"> </w:t>
      </w:r>
      <w:r w:rsidR="00836CAC">
        <w:t xml:space="preserve"> </w:t>
      </w:r>
    </w:p>
    <w:p w14:paraId="5EBD07C9" w14:textId="77777777" w:rsidR="00D86B61" w:rsidRDefault="00D86B61" w:rsidP="000434D8">
      <w:pPr>
        <w:tabs>
          <w:tab w:val="clear" w:pos="851"/>
        </w:tabs>
      </w:pPr>
    </w:p>
    <w:p w14:paraId="052F9F5B" w14:textId="7882769C" w:rsidR="006A52F1" w:rsidRDefault="006743DD" w:rsidP="000434D8">
      <w:pPr>
        <w:tabs>
          <w:tab w:val="clear" w:pos="851"/>
        </w:tabs>
      </w:pPr>
      <w:r>
        <w:t>8</w:t>
      </w:r>
      <w:r w:rsidR="001A2650">
        <w:tab/>
      </w:r>
      <w:r w:rsidR="00594C91">
        <w:t xml:space="preserve">As stated in document </w:t>
      </w:r>
      <w:r w:rsidR="000A076B">
        <w:t>ISWG-GHG 15/</w:t>
      </w:r>
      <w:r w:rsidR="00034F3B">
        <w:t>3/6, i</w:t>
      </w:r>
      <w:r w:rsidR="000C561E">
        <w:t>n combination with a</w:t>
      </w:r>
      <w:r w:rsidR="00877439">
        <w:t xml:space="preserve"> separate</w:t>
      </w:r>
      <w:r w:rsidR="00131311">
        <w:t xml:space="preserve"> </w:t>
      </w:r>
      <w:r w:rsidR="000C561E">
        <w:t>economic measure</w:t>
      </w:r>
      <w:r w:rsidR="001E4E6D">
        <w:t xml:space="preserve"> or what the </w:t>
      </w:r>
      <w:r w:rsidR="00A0528B">
        <w:t>2023 GHG Strategy now refer</w:t>
      </w:r>
      <w:r w:rsidR="00A84FE1">
        <w:t>s</w:t>
      </w:r>
      <w:r w:rsidR="00A0528B">
        <w:t xml:space="preserve"> to a</w:t>
      </w:r>
      <w:r w:rsidR="00900EB8">
        <w:t xml:space="preserve">s a </w:t>
      </w:r>
      <w:r w:rsidR="0098695B">
        <w:t>“</w:t>
      </w:r>
      <w:r w:rsidR="00A84FE1">
        <w:t>GHG pricing mechanism</w:t>
      </w:r>
      <w:r w:rsidR="0098695B">
        <w:t>”</w:t>
      </w:r>
      <w:r w:rsidR="00A37DAC">
        <w:t>,</w:t>
      </w:r>
      <w:r w:rsidR="00A84FE1">
        <w:t xml:space="preserve"> </w:t>
      </w:r>
      <w:r w:rsidR="00C24BA7">
        <w:t>the co-sponsors</w:t>
      </w:r>
      <w:r w:rsidR="000C561E">
        <w:t xml:space="preserve"> </w:t>
      </w:r>
      <w:r w:rsidR="00C07180">
        <w:t xml:space="preserve">fully </w:t>
      </w:r>
      <w:r w:rsidR="000C561E">
        <w:t>support</w:t>
      </w:r>
      <w:r w:rsidR="00C325CF">
        <w:t xml:space="preserve"> t</w:t>
      </w:r>
      <w:r w:rsidR="000C561E">
        <w:t xml:space="preserve">he development of a GFS as a </w:t>
      </w:r>
      <w:r w:rsidR="00C325CF">
        <w:t xml:space="preserve">separate </w:t>
      </w:r>
      <w:r w:rsidR="000C561E">
        <w:t>"fuel neutral" technical measure to help to establish global demand from international shipping for low</w:t>
      </w:r>
      <w:r w:rsidR="003F5E1B">
        <w:t>, near-zero</w:t>
      </w:r>
      <w:r w:rsidR="000C561E">
        <w:t xml:space="preserve"> and zero GHG fuels, on a pathway to transition to net zero GHG emissions as soon as possible</w:t>
      </w:r>
      <w:r w:rsidR="00FB2EE4">
        <w:t>,</w:t>
      </w:r>
      <w:r w:rsidR="001B527E">
        <w:t xml:space="preserve"> and by or around 2050.</w:t>
      </w:r>
      <w:r w:rsidR="000C561E">
        <w:t xml:space="preserve"> </w:t>
      </w:r>
    </w:p>
    <w:p w14:paraId="3DB414CB" w14:textId="77777777" w:rsidR="006A52F1" w:rsidRDefault="006A52F1" w:rsidP="000434D8">
      <w:pPr>
        <w:tabs>
          <w:tab w:val="clear" w:pos="851"/>
        </w:tabs>
      </w:pPr>
    </w:p>
    <w:p w14:paraId="5322F147" w14:textId="3F1E3342" w:rsidR="00670BE7" w:rsidRDefault="006743DD" w:rsidP="000434D8">
      <w:pPr>
        <w:tabs>
          <w:tab w:val="clear" w:pos="851"/>
        </w:tabs>
      </w:pPr>
      <w:r>
        <w:lastRenderedPageBreak/>
        <w:t>9</w:t>
      </w:r>
      <w:r w:rsidR="00227536">
        <w:tab/>
      </w:r>
      <w:r w:rsidR="000C561E">
        <w:t>As a technical measure, the GFS is a performance standard, independent of fuel type, which may help increase the production and uptake of all types of low</w:t>
      </w:r>
      <w:r w:rsidR="00AF4822">
        <w:t xml:space="preserve">, near-zero </w:t>
      </w:r>
      <w:r w:rsidR="000C561E">
        <w:t>and zero</w:t>
      </w:r>
      <w:r w:rsidR="00C126AE">
        <w:t xml:space="preserve"> </w:t>
      </w:r>
      <w:r w:rsidR="000C561E">
        <w:t>GHG fuels, including methanol, ammonia, hydrogen and synthetic fuels, which some ships may start to use before 2030, as well as sustainable biofuels</w:t>
      </w:r>
      <w:r w:rsidR="00B057F9">
        <w:t xml:space="preserve"> (</w:t>
      </w:r>
      <w:r w:rsidR="000C561E">
        <w:t>with the sustainability criteria for sustainable biofuels with a biological origin</w:t>
      </w:r>
      <w:r w:rsidR="008941CC">
        <w:rPr>
          <w:rStyle w:val="FootnoteReference"/>
        </w:rPr>
        <w:footnoteReference w:id="2"/>
      </w:r>
      <w:r w:rsidR="000C561E">
        <w:t xml:space="preserve"> to be established taking account of the LCA Guidelines adopted at MEPC 80</w:t>
      </w:r>
      <w:r w:rsidR="00465DB6">
        <w:t>,</w:t>
      </w:r>
      <w:r w:rsidR="00517388">
        <w:t xml:space="preserve"> as may be amended</w:t>
      </w:r>
      <w:r w:rsidR="00E65423">
        <w:t>)</w:t>
      </w:r>
      <w:r w:rsidR="000C561E">
        <w:t xml:space="preserve">. It is emphasized, however, that significant production and availability of such </w:t>
      </w:r>
      <w:r w:rsidR="00D55787">
        <w:t xml:space="preserve">near-zero and zero GHG </w:t>
      </w:r>
      <w:r w:rsidR="000C561E">
        <w:t xml:space="preserve">fuels is only likely to occur after 2030 and will only be possible if the GFS is complemented by an economic measure, such as the Fund and Reward (feebate) mechanism as set out in documents ISWG-GHG 14/3 (ICS) and ISWG-GHG 14/3/1 (Japan). </w:t>
      </w:r>
    </w:p>
    <w:p w14:paraId="1D4D72FA" w14:textId="77777777" w:rsidR="00670BE7" w:rsidRDefault="00670BE7" w:rsidP="000434D8">
      <w:pPr>
        <w:tabs>
          <w:tab w:val="clear" w:pos="851"/>
        </w:tabs>
      </w:pPr>
    </w:p>
    <w:p w14:paraId="05130DD4" w14:textId="5E196EB2" w:rsidR="000C561E" w:rsidRDefault="006743DD" w:rsidP="000434D8">
      <w:pPr>
        <w:tabs>
          <w:tab w:val="clear" w:pos="851"/>
        </w:tabs>
        <w:rPr>
          <w:color w:val="000000" w:themeColor="text1"/>
        </w:rPr>
      </w:pPr>
      <w:r>
        <w:t>10</w:t>
      </w:r>
      <w:r w:rsidR="00670BE7">
        <w:tab/>
      </w:r>
      <w:r w:rsidR="00EF557A">
        <w:t xml:space="preserve">The co-sponsors </w:t>
      </w:r>
      <w:r w:rsidR="00FD598B">
        <w:t xml:space="preserve">continue to </w:t>
      </w:r>
      <w:r w:rsidR="000C561E">
        <w:t xml:space="preserve">support the development and finalization of a GFS, but the measure described in </w:t>
      </w:r>
      <w:r w:rsidR="001E706A">
        <w:t xml:space="preserve">other </w:t>
      </w:r>
      <w:r w:rsidR="00DE24F4">
        <w:t>proposal</w:t>
      </w:r>
      <w:r w:rsidR="00432BC4">
        <w:t xml:space="preserve">s </w:t>
      </w:r>
      <w:r w:rsidR="00272C8F">
        <w:t xml:space="preserve">for a GFS </w:t>
      </w:r>
      <w:r w:rsidR="00432BC4">
        <w:t>made to previous sessions</w:t>
      </w:r>
      <w:r w:rsidR="00B55DC6">
        <w:t xml:space="preserve"> of the Group</w:t>
      </w:r>
      <w:r w:rsidR="00DE24F4">
        <w:t xml:space="preserve"> </w:t>
      </w:r>
      <w:r w:rsidR="000C561E">
        <w:t>seem excessively complex</w:t>
      </w:r>
      <w:r w:rsidR="00EE4DF6">
        <w:t xml:space="preserve">, compared to </w:t>
      </w:r>
      <w:r w:rsidR="00444B47">
        <w:t xml:space="preserve">a </w:t>
      </w:r>
      <w:r w:rsidR="007E11C6">
        <w:t>simplified GFS combined</w:t>
      </w:r>
      <w:r w:rsidR="0084275E">
        <w:t xml:space="preserve"> </w:t>
      </w:r>
      <w:r w:rsidR="007E11C6">
        <w:t>with</w:t>
      </w:r>
      <w:r w:rsidR="00AB7923">
        <w:t xml:space="preserve"> </w:t>
      </w:r>
      <w:r w:rsidR="0084275E">
        <w:t xml:space="preserve">a </w:t>
      </w:r>
      <w:r w:rsidR="00FE2DC8">
        <w:t xml:space="preserve">flat rate contribution </w:t>
      </w:r>
      <w:r w:rsidR="008A365F">
        <w:t xml:space="preserve">by ships to an IMO fund </w:t>
      </w:r>
      <w:r w:rsidR="00B75D42">
        <w:t>a</w:t>
      </w:r>
      <w:r w:rsidR="0084275E">
        <w:t>s</w:t>
      </w:r>
      <w:r w:rsidR="00B75D42">
        <w:t xml:space="preserve"> </w:t>
      </w:r>
      <w:r w:rsidR="0084275E">
        <w:t xml:space="preserve">a </w:t>
      </w:r>
      <w:r w:rsidR="00B75D42">
        <w:t>separate economic measure</w:t>
      </w:r>
      <w:r w:rsidR="00E14966">
        <w:t>/GHG pricing mechanism</w:t>
      </w:r>
      <w:r w:rsidR="0084275E">
        <w:t xml:space="preserve">. </w:t>
      </w:r>
      <w:r w:rsidR="007E11C6">
        <w:t xml:space="preserve"> </w:t>
      </w:r>
    </w:p>
    <w:p w14:paraId="0F4253D7" w14:textId="77777777" w:rsidR="00FD713A" w:rsidRPr="00CF4C72" w:rsidRDefault="00FD713A" w:rsidP="00FD713A">
      <w:pPr>
        <w:tabs>
          <w:tab w:val="clear" w:pos="851"/>
        </w:tabs>
        <w:rPr>
          <w:color w:val="000000" w:themeColor="text1"/>
        </w:rPr>
      </w:pPr>
    </w:p>
    <w:p w14:paraId="239E1763" w14:textId="707C47BE" w:rsidR="00E320F9" w:rsidRPr="00675BC5" w:rsidRDefault="00423B78" w:rsidP="00FD713A">
      <w:pPr>
        <w:tabs>
          <w:tab w:val="clear" w:pos="851"/>
        </w:tabs>
        <w:rPr>
          <w:b/>
          <w:bCs/>
        </w:rPr>
      </w:pPr>
      <w:r w:rsidRPr="00675BC5">
        <w:rPr>
          <w:b/>
          <w:bCs/>
        </w:rPr>
        <w:t>Recap of s</w:t>
      </w:r>
      <w:r w:rsidR="005978ED" w:rsidRPr="00675BC5">
        <w:rPr>
          <w:b/>
          <w:bCs/>
        </w:rPr>
        <w:t xml:space="preserve">uggested possible draft of new chapter to MARPOL Annex VI </w:t>
      </w:r>
    </w:p>
    <w:p w14:paraId="5FF42ABA" w14:textId="77777777" w:rsidR="00E320F9" w:rsidRPr="00675BC5" w:rsidRDefault="00E320F9" w:rsidP="00FD713A">
      <w:pPr>
        <w:tabs>
          <w:tab w:val="clear" w:pos="851"/>
        </w:tabs>
        <w:rPr>
          <w:b/>
          <w:bCs/>
        </w:rPr>
      </w:pPr>
    </w:p>
    <w:p w14:paraId="46BFC65C" w14:textId="18F15567" w:rsidR="00E320F9" w:rsidRDefault="000F3B1A" w:rsidP="00FD713A">
      <w:pPr>
        <w:tabs>
          <w:tab w:val="clear" w:pos="851"/>
        </w:tabs>
      </w:pPr>
      <w:r>
        <w:t>1</w:t>
      </w:r>
      <w:r w:rsidR="006743DD">
        <w:t>1</w:t>
      </w:r>
      <w:r w:rsidR="005978ED">
        <w:t xml:space="preserve"> </w:t>
      </w:r>
      <w:r w:rsidR="00E320F9">
        <w:tab/>
      </w:r>
      <w:r w:rsidR="005978ED">
        <w:t>To help progress the discussion among Member States during Phase II</w:t>
      </w:r>
      <w:r w:rsidR="00DE7D4A">
        <w:t>I</w:t>
      </w:r>
      <w:r w:rsidR="005978ED">
        <w:t xml:space="preserve"> of the Work plan, </w:t>
      </w:r>
      <w:r w:rsidR="00EF557A">
        <w:t xml:space="preserve">the co-sponsors </w:t>
      </w:r>
      <w:r w:rsidR="002F656F">
        <w:t xml:space="preserve">continue to </w:t>
      </w:r>
      <w:r w:rsidR="005978ED">
        <w:t xml:space="preserve">suggest an approach which is similar to that used for the IMO 2020 global sulphur limit as set out in regulation 14.1 of MARPOL Annex VI. To demonstrate how this would work, </w:t>
      </w:r>
      <w:r w:rsidR="00EF557A">
        <w:t xml:space="preserve">the co-sponsors </w:t>
      </w:r>
      <w:r w:rsidR="005978ED">
        <w:t>set out</w:t>
      </w:r>
      <w:r w:rsidR="00EA39E3">
        <w:t>,</w:t>
      </w:r>
      <w:r w:rsidR="005978ED">
        <w:t xml:space="preserve"> in the annex to this document</w:t>
      </w:r>
      <w:r w:rsidR="00EA39E3">
        <w:t>,</w:t>
      </w:r>
      <w:r w:rsidR="005978ED">
        <w:t xml:space="preserve"> a possible draft new chapter to MARPOL Annex VI. </w:t>
      </w:r>
    </w:p>
    <w:p w14:paraId="4779E604" w14:textId="77777777" w:rsidR="00E320F9" w:rsidRDefault="00E320F9" w:rsidP="00FD713A">
      <w:pPr>
        <w:tabs>
          <w:tab w:val="clear" w:pos="851"/>
        </w:tabs>
      </w:pPr>
    </w:p>
    <w:p w14:paraId="43EFCE84" w14:textId="414FC18D" w:rsidR="00E320F9" w:rsidRDefault="009136C3" w:rsidP="00E320F9">
      <w:pPr>
        <w:tabs>
          <w:tab w:val="clear" w:pos="851"/>
        </w:tabs>
      </w:pPr>
      <w:r>
        <w:t>1</w:t>
      </w:r>
      <w:r w:rsidR="006743DD">
        <w:t>2</w:t>
      </w:r>
      <w:r w:rsidR="00E320F9">
        <w:tab/>
      </w:r>
      <w:r w:rsidR="00C47DF1">
        <w:t>The Group will recall that t</w:t>
      </w:r>
      <w:r w:rsidR="005978ED">
        <w:t>he possible draft amendments in the annex to this document use a similar approach to that used for the IMO 2020 standards regulating the global sulphur content of marine fuel, which were adopted with a requirement that a review of fuel availability would be undertaken two years ahead of implementation by 2018. However, given the concern about the potential for disproportionately negative impacts on States, it is proposed that this review, to be undertaken by 2028, should also take into account the cost of compliant fuels, as well as their availability.</w:t>
      </w:r>
    </w:p>
    <w:p w14:paraId="2B3CE630" w14:textId="77777777" w:rsidR="00E320F9" w:rsidRDefault="00E320F9" w:rsidP="00E320F9">
      <w:pPr>
        <w:tabs>
          <w:tab w:val="clear" w:pos="851"/>
        </w:tabs>
      </w:pPr>
    </w:p>
    <w:p w14:paraId="1E3E76AE" w14:textId="06343634" w:rsidR="00E320F9" w:rsidRDefault="009136C3" w:rsidP="00E320F9">
      <w:pPr>
        <w:tabs>
          <w:tab w:val="clear" w:pos="851"/>
        </w:tabs>
      </w:pPr>
      <w:r>
        <w:t>1</w:t>
      </w:r>
      <w:r w:rsidR="006743DD">
        <w:t>3</w:t>
      </w:r>
      <w:r w:rsidR="00E320F9">
        <w:tab/>
      </w:r>
      <w:r w:rsidR="005978ED">
        <w:t>Compliance with the GHG intensity requirement could also be achieved using technologies such as carbon capture and storage,</w:t>
      </w:r>
      <w:r w:rsidR="007301D6">
        <w:t xml:space="preserve"> </w:t>
      </w:r>
      <w:r w:rsidR="007301D6" w:rsidRPr="00702C2C">
        <w:rPr>
          <w:color w:val="000000" w:themeColor="text1"/>
        </w:rPr>
        <w:t>and other technologies</w:t>
      </w:r>
      <w:r w:rsidR="007301D6">
        <w:t>,</w:t>
      </w:r>
      <w:r w:rsidR="005978ED">
        <w:t xml:space="preserve"> pursuant to regulation 4 of MARPOL Annex VI on "Equivalents" – and a provision for this has been included in the suggested draft regulatory text in the annex to this document. </w:t>
      </w:r>
    </w:p>
    <w:p w14:paraId="332CD8EC" w14:textId="77777777" w:rsidR="00E320F9" w:rsidRDefault="00E320F9" w:rsidP="00E320F9">
      <w:pPr>
        <w:tabs>
          <w:tab w:val="clear" w:pos="851"/>
        </w:tabs>
      </w:pPr>
    </w:p>
    <w:p w14:paraId="46D10107" w14:textId="50FD53D7" w:rsidR="00423B78" w:rsidRDefault="009136C3" w:rsidP="00E320F9">
      <w:pPr>
        <w:tabs>
          <w:tab w:val="clear" w:pos="851"/>
        </w:tabs>
      </w:pPr>
      <w:r>
        <w:t>1</w:t>
      </w:r>
      <w:r w:rsidR="006743DD">
        <w:t>4</w:t>
      </w:r>
      <w:r w:rsidR="005978ED">
        <w:t xml:space="preserve"> </w:t>
      </w:r>
      <w:r w:rsidR="00D138CA">
        <w:tab/>
      </w:r>
      <w:r w:rsidR="005978ED">
        <w:t xml:space="preserve">Rather than combining such a technical measure with an economic measure within the same set of regulations, which would be significantly challenging to do from a drafting perspective, </w:t>
      </w:r>
      <w:r w:rsidR="00EF557A">
        <w:t xml:space="preserve">the co-sponsors </w:t>
      </w:r>
      <w:r w:rsidR="005978ED">
        <w:t xml:space="preserve">suggest that this technical measure should be developed in parallel to an economic measure as a separate chapter within MARPOL Annex VI. </w:t>
      </w:r>
    </w:p>
    <w:p w14:paraId="0491F764" w14:textId="77777777" w:rsidR="00423B78" w:rsidRDefault="00423B78" w:rsidP="00E320F9">
      <w:pPr>
        <w:tabs>
          <w:tab w:val="clear" w:pos="851"/>
        </w:tabs>
      </w:pPr>
    </w:p>
    <w:p w14:paraId="178453C3" w14:textId="77777777" w:rsidR="0086084F" w:rsidRDefault="0086084F" w:rsidP="0086084F">
      <w:pPr>
        <w:tabs>
          <w:tab w:val="clear" w:pos="851"/>
        </w:tabs>
        <w:rPr>
          <w:b/>
          <w:bCs/>
          <w:color w:val="000000" w:themeColor="text1"/>
        </w:rPr>
      </w:pPr>
      <w:r>
        <w:rPr>
          <w:b/>
          <w:bCs/>
          <w:color w:val="000000" w:themeColor="text1"/>
        </w:rPr>
        <w:t>“E</w:t>
      </w:r>
      <w:r w:rsidRPr="00675BC5">
        <w:rPr>
          <w:b/>
          <w:bCs/>
          <w:color w:val="000000" w:themeColor="text1"/>
        </w:rPr>
        <w:t>nergy pooling compliance mechanism”</w:t>
      </w:r>
    </w:p>
    <w:p w14:paraId="511C78DE" w14:textId="77777777" w:rsidR="0086084F" w:rsidRDefault="0086084F" w:rsidP="0086084F">
      <w:pPr>
        <w:tabs>
          <w:tab w:val="clear" w:pos="851"/>
        </w:tabs>
        <w:rPr>
          <w:b/>
          <w:bCs/>
          <w:color w:val="000000" w:themeColor="text1"/>
        </w:rPr>
      </w:pPr>
    </w:p>
    <w:p w14:paraId="12093932" w14:textId="7F40CE09" w:rsidR="0086084F" w:rsidRPr="00702C2C" w:rsidRDefault="009136C3" w:rsidP="0086084F">
      <w:pPr>
        <w:tabs>
          <w:tab w:val="clear" w:pos="851"/>
        </w:tabs>
        <w:rPr>
          <w:color w:val="000000" w:themeColor="text1"/>
        </w:rPr>
      </w:pPr>
      <w:r>
        <w:rPr>
          <w:color w:val="000000" w:themeColor="text1"/>
        </w:rPr>
        <w:t>1</w:t>
      </w:r>
      <w:r w:rsidR="006743DD">
        <w:rPr>
          <w:color w:val="000000" w:themeColor="text1"/>
        </w:rPr>
        <w:t>5</w:t>
      </w:r>
      <w:r>
        <w:rPr>
          <w:color w:val="000000" w:themeColor="text1"/>
        </w:rPr>
        <w:tab/>
      </w:r>
      <w:r w:rsidR="0086084F">
        <w:rPr>
          <w:color w:val="000000" w:themeColor="text1"/>
        </w:rPr>
        <w:t xml:space="preserve">The revised version of the </w:t>
      </w:r>
      <w:r w:rsidR="00CE7B13">
        <w:rPr>
          <w:color w:val="000000" w:themeColor="text1"/>
        </w:rPr>
        <w:t xml:space="preserve">possible </w:t>
      </w:r>
      <w:r w:rsidR="0086084F">
        <w:rPr>
          <w:color w:val="000000" w:themeColor="text1"/>
        </w:rPr>
        <w:t xml:space="preserve">draft amendments </w:t>
      </w:r>
      <w:r w:rsidR="00BC46B9">
        <w:rPr>
          <w:color w:val="000000" w:themeColor="text1"/>
        </w:rPr>
        <w:t xml:space="preserve">to MARPOL Annex VI, as set out in the annex to this document, </w:t>
      </w:r>
      <w:r w:rsidR="0086084F">
        <w:rPr>
          <w:color w:val="000000" w:themeColor="text1"/>
        </w:rPr>
        <w:t>now include</w:t>
      </w:r>
      <w:r w:rsidR="005C556B">
        <w:rPr>
          <w:color w:val="000000" w:themeColor="text1"/>
        </w:rPr>
        <w:t>s</w:t>
      </w:r>
      <w:r w:rsidR="0086084F">
        <w:rPr>
          <w:color w:val="000000" w:themeColor="text1"/>
        </w:rPr>
        <w:t xml:space="preserve"> additional provisions for </w:t>
      </w:r>
      <w:r w:rsidR="0086084F" w:rsidRPr="008D2EFE">
        <w:rPr>
          <w:color w:val="000000" w:themeColor="text1"/>
        </w:rPr>
        <w:t>a</w:t>
      </w:r>
      <w:r w:rsidR="006D5B6A" w:rsidRPr="00702C2C">
        <w:rPr>
          <w:color w:val="000000" w:themeColor="text1"/>
        </w:rPr>
        <w:t>n</w:t>
      </w:r>
      <w:r w:rsidR="0086084F" w:rsidRPr="008D2EFE">
        <w:rPr>
          <w:color w:val="000000" w:themeColor="text1"/>
        </w:rPr>
        <w:t xml:space="preserve"> “energy pooling compliance mechanism”</w:t>
      </w:r>
      <w:r w:rsidR="000B6F2B">
        <w:rPr>
          <w:color w:val="000000" w:themeColor="text1"/>
        </w:rPr>
        <w:t xml:space="preserve"> </w:t>
      </w:r>
      <w:r w:rsidR="000B6F2B" w:rsidRPr="00702C2C">
        <w:rPr>
          <w:color w:val="000000" w:themeColor="text1"/>
        </w:rPr>
        <w:t xml:space="preserve">that may be used </w:t>
      </w:r>
      <w:r w:rsidR="0025044F" w:rsidRPr="00702C2C">
        <w:rPr>
          <w:color w:val="000000" w:themeColor="text1"/>
        </w:rPr>
        <w:t xml:space="preserve">on a voluntary basis </w:t>
      </w:r>
      <w:r w:rsidR="000B6F2B" w:rsidRPr="00702C2C">
        <w:rPr>
          <w:color w:val="000000" w:themeColor="text1"/>
        </w:rPr>
        <w:t xml:space="preserve">by ships </w:t>
      </w:r>
      <w:r w:rsidR="00552336" w:rsidRPr="00702C2C">
        <w:rPr>
          <w:color w:val="000000" w:themeColor="text1"/>
        </w:rPr>
        <w:t>to comply with the GFS</w:t>
      </w:r>
      <w:r w:rsidR="00511DE9" w:rsidRPr="00702C2C">
        <w:rPr>
          <w:color w:val="000000" w:themeColor="text1"/>
        </w:rPr>
        <w:t>.</w:t>
      </w:r>
      <w:r w:rsidR="00552336" w:rsidRPr="00702C2C">
        <w:rPr>
          <w:color w:val="000000" w:themeColor="text1"/>
        </w:rPr>
        <w:t xml:space="preserve"> </w:t>
      </w:r>
    </w:p>
    <w:p w14:paraId="297CE383" w14:textId="77777777" w:rsidR="0086084F" w:rsidRDefault="0086084F" w:rsidP="0086084F">
      <w:pPr>
        <w:tabs>
          <w:tab w:val="clear" w:pos="851"/>
        </w:tabs>
        <w:rPr>
          <w:b/>
          <w:bCs/>
          <w:color w:val="000000" w:themeColor="text1"/>
        </w:rPr>
      </w:pPr>
    </w:p>
    <w:p w14:paraId="70A7151D" w14:textId="47368FAD" w:rsidR="00010016" w:rsidRPr="00A55EDB" w:rsidRDefault="00B261D8" w:rsidP="009136C3">
      <w:pPr>
        <w:tabs>
          <w:tab w:val="clear" w:pos="851"/>
        </w:tabs>
      </w:pPr>
      <w:r w:rsidRPr="00675BC5">
        <w:rPr>
          <w:color w:val="000000" w:themeColor="text1"/>
        </w:rPr>
        <w:lastRenderedPageBreak/>
        <w:t>1</w:t>
      </w:r>
      <w:r w:rsidR="006743DD">
        <w:rPr>
          <w:color w:val="000000" w:themeColor="text1"/>
        </w:rPr>
        <w:t>6</w:t>
      </w:r>
      <w:r w:rsidR="00CE7B13" w:rsidRPr="00675BC5">
        <w:rPr>
          <w:color w:val="000000" w:themeColor="text1"/>
        </w:rPr>
        <w:tab/>
      </w:r>
      <w:r w:rsidR="001B2958" w:rsidRPr="00702C2C">
        <w:rPr>
          <w:color w:val="000000" w:themeColor="text1"/>
        </w:rPr>
        <w:t>Whilst</w:t>
      </w:r>
      <w:r w:rsidR="00BF7A39" w:rsidRPr="00702C2C">
        <w:rPr>
          <w:color w:val="000000" w:themeColor="text1"/>
        </w:rPr>
        <w:t xml:space="preserve"> the </w:t>
      </w:r>
      <w:r w:rsidR="004208E5" w:rsidRPr="00702C2C">
        <w:rPr>
          <w:color w:val="000000" w:themeColor="text1"/>
        </w:rPr>
        <w:t>dec</w:t>
      </w:r>
      <w:r w:rsidR="00BF1997" w:rsidRPr="00702C2C">
        <w:rPr>
          <w:color w:val="000000" w:themeColor="text1"/>
        </w:rPr>
        <w:t>i</w:t>
      </w:r>
      <w:r w:rsidR="004208E5" w:rsidRPr="00702C2C">
        <w:rPr>
          <w:color w:val="000000" w:themeColor="text1"/>
        </w:rPr>
        <w:t xml:space="preserve">sion by ships to </w:t>
      </w:r>
      <w:r w:rsidR="00BF7A39" w:rsidRPr="00702C2C">
        <w:rPr>
          <w:color w:val="000000" w:themeColor="text1"/>
        </w:rPr>
        <w:t xml:space="preserve">use such a </w:t>
      </w:r>
      <w:r w:rsidR="00EA434E" w:rsidRPr="00702C2C">
        <w:rPr>
          <w:color w:val="000000" w:themeColor="text1"/>
        </w:rPr>
        <w:t xml:space="preserve">pooling </w:t>
      </w:r>
      <w:r w:rsidR="00BF7A39" w:rsidRPr="00702C2C">
        <w:rPr>
          <w:color w:val="000000" w:themeColor="text1"/>
        </w:rPr>
        <w:t>mechanism would be voluntary</w:t>
      </w:r>
      <w:r w:rsidR="007730A4" w:rsidRPr="00702C2C">
        <w:rPr>
          <w:color w:val="000000" w:themeColor="text1"/>
        </w:rPr>
        <w:t xml:space="preserve">, </w:t>
      </w:r>
      <w:r w:rsidR="00AD1D28">
        <w:rPr>
          <w:color w:val="000000" w:themeColor="text1"/>
        </w:rPr>
        <w:t>t</w:t>
      </w:r>
      <w:r w:rsidR="005A22E6" w:rsidRPr="00702C2C">
        <w:rPr>
          <w:color w:val="000000" w:themeColor="text1"/>
        </w:rPr>
        <w:t xml:space="preserve">he </w:t>
      </w:r>
      <w:r w:rsidR="007730A4" w:rsidRPr="00702C2C">
        <w:rPr>
          <w:color w:val="000000" w:themeColor="text1"/>
        </w:rPr>
        <w:t xml:space="preserve">suggested </w:t>
      </w:r>
      <w:r w:rsidR="005A22E6" w:rsidRPr="00702C2C">
        <w:rPr>
          <w:color w:val="000000" w:themeColor="text1"/>
        </w:rPr>
        <w:t xml:space="preserve">draft provisions </w:t>
      </w:r>
      <w:r w:rsidR="007730A4" w:rsidRPr="00702C2C">
        <w:rPr>
          <w:color w:val="000000" w:themeColor="text1"/>
        </w:rPr>
        <w:t xml:space="preserve">set out in the </w:t>
      </w:r>
      <w:r w:rsidR="00636098" w:rsidRPr="00702C2C">
        <w:rPr>
          <w:color w:val="000000" w:themeColor="text1"/>
        </w:rPr>
        <w:t>a</w:t>
      </w:r>
      <w:r w:rsidR="005D5502" w:rsidRPr="00702C2C">
        <w:rPr>
          <w:color w:val="000000" w:themeColor="text1"/>
        </w:rPr>
        <w:t xml:space="preserve">nnex </w:t>
      </w:r>
      <w:r w:rsidR="007730A4" w:rsidRPr="00702C2C">
        <w:rPr>
          <w:color w:val="000000" w:themeColor="text1"/>
        </w:rPr>
        <w:t xml:space="preserve">to this document </w:t>
      </w:r>
      <w:r w:rsidR="00EC249F" w:rsidRPr="00702C2C">
        <w:rPr>
          <w:color w:val="000000" w:themeColor="text1"/>
        </w:rPr>
        <w:t xml:space="preserve">currently </w:t>
      </w:r>
      <w:r w:rsidR="005A22E6" w:rsidRPr="00702C2C">
        <w:rPr>
          <w:color w:val="000000" w:themeColor="text1"/>
        </w:rPr>
        <w:t xml:space="preserve">provide </w:t>
      </w:r>
      <w:r w:rsidR="00010016" w:rsidRPr="00702C2C">
        <w:rPr>
          <w:color w:val="000000" w:themeColor="text1"/>
        </w:rPr>
        <w:t xml:space="preserve">for consideration by Member States </w:t>
      </w:r>
      <w:r w:rsidR="006D5B6A" w:rsidRPr="00702C2C">
        <w:rPr>
          <w:color w:val="000000" w:themeColor="text1"/>
        </w:rPr>
        <w:t xml:space="preserve">of </w:t>
      </w:r>
      <w:r w:rsidR="00702C2C" w:rsidRPr="00A55EDB">
        <w:t>the use of non-</w:t>
      </w:r>
      <w:r w:rsidR="005A22E6" w:rsidRPr="00A55EDB">
        <w:t xml:space="preserve">mandatory language as to whether </w:t>
      </w:r>
      <w:r w:rsidR="00B9304B" w:rsidRPr="00A55EDB">
        <w:t xml:space="preserve">Administrations </w:t>
      </w:r>
      <w:r w:rsidR="00C7708E" w:rsidRPr="00A55EDB">
        <w:t xml:space="preserve">would be required to implement such </w:t>
      </w:r>
      <w:r w:rsidR="009B560C" w:rsidRPr="00A55EDB">
        <w:t xml:space="preserve">a </w:t>
      </w:r>
      <w:r w:rsidR="005A22E6" w:rsidRPr="00A55EDB">
        <w:t xml:space="preserve">pooling </w:t>
      </w:r>
      <w:r w:rsidR="009B560C" w:rsidRPr="00A55EDB">
        <w:t>mechanism</w:t>
      </w:r>
      <w:r w:rsidR="00B9304B" w:rsidRPr="00A55EDB">
        <w:t>,</w:t>
      </w:r>
      <w:r w:rsidR="005A22E6" w:rsidRPr="00A55EDB">
        <w:t xml:space="preserve"> </w:t>
      </w:r>
      <w:r w:rsidR="00142866" w:rsidRPr="00A55EDB">
        <w:t xml:space="preserve">if </w:t>
      </w:r>
      <w:r w:rsidR="00D835B0" w:rsidRPr="00A55EDB">
        <w:t xml:space="preserve">so </w:t>
      </w:r>
      <w:r w:rsidR="00142866" w:rsidRPr="00A55EDB">
        <w:t xml:space="preserve">requested by </w:t>
      </w:r>
      <w:r w:rsidR="00700FB7" w:rsidRPr="00A55EDB">
        <w:t xml:space="preserve">a </w:t>
      </w:r>
      <w:r w:rsidR="00142866" w:rsidRPr="00A55EDB">
        <w:t>shi</w:t>
      </w:r>
      <w:r w:rsidR="00700FB7" w:rsidRPr="00A55EDB">
        <w:t>p</w:t>
      </w:r>
      <w:r w:rsidR="00142866" w:rsidRPr="00A55EDB">
        <w:t xml:space="preserve"> flying its flag</w:t>
      </w:r>
      <w:r w:rsidR="00DC7B09" w:rsidRPr="00A55EDB">
        <w:t xml:space="preserve">. </w:t>
      </w:r>
      <w:r w:rsidR="00702C2C" w:rsidRPr="00A55EDB">
        <w:t xml:space="preserve">However, </w:t>
      </w:r>
      <w:r w:rsidR="00743C3B" w:rsidRPr="00A55EDB">
        <w:t xml:space="preserve">in view of the need for a flexible approach, </w:t>
      </w:r>
      <w:r w:rsidR="00D528F9" w:rsidRPr="00A55EDB">
        <w:t xml:space="preserve">the </w:t>
      </w:r>
      <w:r w:rsidR="00743C3B" w:rsidRPr="00A55EDB">
        <w:t xml:space="preserve">co-sponsors </w:t>
      </w:r>
      <w:r w:rsidR="00963F09" w:rsidRPr="00A55EDB">
        <w:t xml:space="preserve">consider it necessary </w:t>
      </w:r>
      <w:r w:rsidR="00743C3B" w:rsidRPr="00A55EDB">
        <w:t xml:space="preserve">that as many Administrations as possible will allow the use of </w:t>
      </w:r>
      <w:r w:rsidR="00D528F9" w:rsidRPr="00A55EDB">
        <w:t xml:space="preserve">a </w:t>
      </w:r>
      <w:r w:rsidR="00743C3B" w:rsidRPr="00A55EDB">
        <w:t>pooling mechanism</w:t>
      </w:r>
      <w:r w:rsidR="0061039C" w:rsidRPr="00A55EDB">
        <w:t>. The co-sponsor</w:t>
      </w:r>
      <w:r w:rsidR="00D65C2A" w:rsidRPr="00A55EDB">
        <w:t xml:space="preserve">s </w:t>
      </w:r>
      <w:r w:rsidR="003F12B0" w:rsidRPr="00A55EDB">
        <w:t xml:space="preserve">also </w:t>
      </w:r>
      <w:r w:rsidR="00D528F9" w:rsidRPr="00A55EDB">
        <w:t>emphasiz</w:t>
      </w:r>
      <w:r w:rsidR="00D65C2A" w:rsidRPr="00A55EDB">
        <w:t>e</w:t>
      </w:r>
      <w:r w:rsidR="00573514" w:rsidRPr="00A55EDB">
        <w:t xml:space="preserve"> </w:t>
      </w:r>
      <w:r w:rsidR="00D528F9" w:rsidRPr="00A55EDB">
        <w:t>that</w:t>
      </w:r>
      <w:r w:rsidR="00654A85" w:rsidRPr="00A55EDB">
        <w:t xml:space="preserve"> </w:t>
      </w:r>
      <w:r w:rsidR="00702C2C" w:rsidRPr="00A55EDB">
        <w:t>it is imperative that appropriate guidelines are adopted by the Organization to ensure uniform and consistent implementation globally of the proposed energy pooling compliance mechanism.</w:t>
      </w:r>
    </w:p>
    <w:p w14:paraId="7B92C0DA" w14:textId="77777777" w:rsidR="00010016" w:rsidRPr="00C74F2E" w:rsidRDefault="00010016" w:rsidP="009136C3">
      <w:pPr>
        <w:tabs>
          <w:tab w:val="clear" w:pos="851"/>
        </w:tabs>
        <w:rPr>
          <w:color w:val="FF0000"/>
        </w:rPr>
      </w:pPr>
    </w:p>
    <w:p w14:paraId="48E71B61" w14:textId="5F0A13AA" w:rsidR="00BE454B" w:rsidRDefault="00010016" w:rsidP="009136C3">
      <w:pPr>
        <w:tabs>
          <w:tab w:val="clear" w:pos="851"/>
        </w:tabs>
        <w:rPr>
          <w:color w:val="000000" w:themeColor="text1"/>
        </w:rPr>
      </w:pPr>
      <w:r>
        <w:rPr>
          <w:color w:val="000000" w:themeColor="text1"/>
        </w:rPr>
        <w:t>17</w:t>
      </w:r>
      <w:r>
        <w:rPr>
          <w:color w:val="000000" w:themeColor="text1"/>
        </w:rPr>
        <w:tab/>
      </w:r>
      <w:r w:rsidR="005A22E6" w:rsidRPr="00702C2C">
        <w:rPr>
          <w:color w:val="000000" w:themeColor="text1"/>
        </w:rPr>
        <w:t xml:space="preserve">The </w:t>
      </w:r>
      <w:r w:rsidR="00CB48F3" w:rsidRPr="00702C2C">
        <w:rPr>
          <w:color w:val="000000" w:themeColor="text1"/>
        </w:rPr>
        <w:t xml:space="preserve">draft </w:t>
      </w:r>
      <w:r w:rsidR="005A22E6" w:rsidRPr="00702C2C">
        <w:rPr>
          <w:color w:val="000000" w:themeColor="text1"/>
        </w:rPr>
        <w:t xml:space="preserve">requirements, </w:t>
      </w:r>
      <w:r w:rsidR="00CB48F3" w:rsidRPr="00702C2C">
        <w:rPr>
          <w:color w:val="000000" w:themeColor="text1"/>
        </w:rPr>
        <w:t xml:space="preserve">as suggested </w:t>
      </w:r>
      <w:r w:rsidR="00094BA4" w:rsidRPr="00702C2C">
        <w:rPr>
          <w:color w:val="000000" w:themeColor="text1"/>
        </w:rPr>
        <w:t>in the annex to this document</w:t>
      </w:r>
      <w:r w:rsidR="00C44516" w:rsidRPr="00702C2C">
        <w:rPr>
          <w:color w:val="000000" w:themeColor="text1"/>
        </w:rPr>
        <w:t>,</w:t>
      </w:r>
      <w:r w:rsidR="00326FD5">
        <w:rPr>
          <w:color w:val="000000" w:themeColor="text1"/>
        </w:rPr>
        <w:t xml:space="preserve"> </w:t>
      </w:r>
      <w:r w:rsidR="009B5984">
        <w:rPr>
          <w:color w:val="000000" w:themeColor="text1"/>
        </w:rPr>
        <w:t xml:space="preserve">would </w:t>
      </w:r>
      <w:r w:rsidR="009B560C" w:rsidRPr="00B261D8">
        <w:rPr>
          <w:color w:val="000000" w:themeColor="text1"/>
        </w:rPr>
        <w:t>permit shipping companies</w:t>
      </w:r>
      <w:r w:rsidR="007F2334">
        <w:rPr>
          <w:color w:val="000000" w:themeColor="text1"/>
        </w:rPr>
        <w:t>,</w:t>
      </w:r>
      <w:r w:rsidR="009B560C" w:rsidRPr="00B261D8">
        <w:rPr>
          <w:color w:val="000000" w:themeColor="text1"/>
        </w:rPr>
        <w:t xml:space="preserve"> with all sizes of fleet</w:t>
      </w:r>
      <w:r w:rsidR="007F2334">
        <w:rPr>
          <w:color w:val="000000" w:themeColor="text1"/>
        </w:rPr>
        <w:t>,</w:t>
      </w:r>
      <w:r w:rsidR="009B560C" w:rsidRPr="00B261D8">
        <w:rPr>
          <w:color w:val="000000" w:themeColor="text1"/>
        </w:rPr>
        <w:t xml:space="preserve"> to share their ability to comply with the GFS should fuels of the required GHG intensity not always be available to individual ships in sufficient quantities. The mechanism would permit a ship</w:t>
      </w:r>
      <w:r w:rsidR="008A2228">
        <w:rPr>
          <w:color w:val="000000" w:themeColor="text1"/>
        </w:rPr>
        <w:t>,</w:t>
      </w:r>
      <w:r w:rsidR="009B560C" w:rsidRPr="00B261D8">
        <w:rPr>
          <w:color w:val="000000" w:themeColor="text1"/>
        </w:rPr>
        <w:t xml:space="preserve"> or ships</w:t>
      </w:r>
      <w:r w:rsidR="008A2228">
        <w:rPr>
          <w:color w:val="000000" w:themeColor="text1"/>
        </w:rPr>
        <w:t>,</w:t>
      </w:r>
      <w:r w:rsidR="009B560C" w:rsidRPr="00B261D8">
        <w:rPr>
          <w:color w:val="000000" w:themeColor="text1"/>
        </w:rPr>
        <w:t xml:space="preserve"> which ‘over-comply’ with the required GFI – operated by the same or different companies and registered with one or more flag States – to share the ‘excess’ required GFI with another ship or ships in the “pool” that may be unable to comply fully with the requirement. As well as allowing ships to continue to trade, such an approach would further help incentivise the uptake </w:t>
      </w:r>
      <w:r w:rsidR="00DF74B2">
        <w:rPr>
          <w:color w:val="000000" w:themeColor="text1"/>
        </w:rPr>
        <w:t xml:space="preserve">by </w:t>
      </w:r>
      <w:r w:rsidR="009B560C" w:rsidRPr="00B261D8">
        <w:rPr>
          <w:color w:val="000000" w:themeColor="text1"/>
        </w:rPr>
        <w:t>ships of near-zero and zero GHG fuels</w:t>
      </w:r>
      <w:r w:rsidR="004E0922">
        <w:rPr>
          <w:color w:val="000000" w:themeColor="text1"/>
        </w:rPr>
        <w:t xml:space="preserve">, </w:t>
      </w:r>
      <w:r w:rsidR="009B560C" w:rsidRPr="00B261D8">
        <w:rPr>
          <w:color w:val="000000" w:themeColor="text1"/>
        </w:rPr>
        <w:t>as shipping companies investing in ships which use these fuels could transfer the “excess” GFI to other ships in their fleet</w:t>
      </w:r>
      <w:r w:rsidR="00782671">
        <w:rPr>
          <w:color w:val="000000" w:themeColor="text1"/>
        </w:rPr>
        <w:t xml:space="preserve"> or </w:t>
      </w:r>
      <w:r w:rsidR="009B560C" w:rsidRPr="00B261D8">
        <w:rPr>
          <w:color w:val="000000" w:themeColor="text1"/>
        </w:rPr>
        <w:t>in other companies’ fleets</w:t>
      </w:r>
      <w:r w:rsidR="00296094">
        <w:rPr>
          <w:color w:val="000000" w:themeColor="text1"/>
        </w:rPr>
        <w:t xml:space="preserve"> </w:t>
      </w:r>
      <w:r w:rsidR="009B560C" w:rsidRPr="00B261D8">
        <w:rPr>
          <w:color w:val="000000" w:themeColor="text1"/>
        </w:rPr>
        <w:t xml:space="preserve">which might be unable to comply fully with the required GFI. </w:t>
      </w:r>
      <w:r w:rsidR="00E24EB1">
        <w:rPr>
          <w:color w:val="000000" w:themeColor="text1"/>
        </w:rPr>
        <w:t xml:space="preserve"> </w:t>
      </w:r>
    </w:p>
    <w:p w14:paraId="044C0FA2" w14:textId="77777777" w:rsidR="00BE454B" w:rsidRDefault="00BE454B" w:rsidP="00BE454B">
      <w:pPr>
        <w:tabs>
          <w:tab w:val="clear" w:pos="851"/>
        </w:tabs>
        <w:rPr>
          <w:color w:val="000000" w:themeColor="text1"/>
        </w:rPr>
      </w:pPr>
    </w:p>
    <w:p w14:paraId="4A199333" w14:textId="20A15353" w:rsidR="009B560C" w:rsidRDefault="00010016" w:rsidP="00BE454B">
      <w:pPr>
        <w:tabs>
          <w:tab w:val="clear" w:pos="851"/>
        </w:tabs>
        <w:rPr>
          <w:color w:val="000000" w:themeColor="text1"/>
        </w:rPr>
      </w:pPr>
      <w:r>
        <w:rPr>
          <w:color w:val="000000" w:themeColor="text1"/>
        </w:rPr>
        <w:t>18</w:t>
      </w:r>
      <w:r w:rsidR="00BE454B">
        <w:rPr>
          <w:color w:val="000000" w:themeColor="text1"/>
        </w:rPr>
        <w:tab/>
      </w:r>
      <w:r w:rsidR="00E24EB1">
        <w:rPr>
          <w:color w:val="000000" w:themeColor="text1"/>
        </w:rPr>
        <w:t xml:space="preserve">When pooling the </w:t>
      </w:r>
      <w:r w:rsidR="0042424A">
        <w:rPr>
          <w:color w:val="000000" w:themeColor="text1"/>
        </w:rPr>
        <w:t>GFI with ships in other companies’ fleets, t</w:t>
      </w:r>
      <w:r w:rsidR="009B560C" w:rsidRPr="00B261D8">
        <w:rPr>
          <w:color w:val="000000" w:themeColor="text1"/>
        </w:rPr>
        <w:t xml:space="preserve">his would be done through a private commercial arrangement, such arrangements being common, for example,  for the P&amp;I insurance of ships. The approach used for verification and certification of compliance by ships </w:t>
      </w:r>
      <w:r w:rsidR="00CE0BA9">
        <w:rPr>
          <w:color w:val="000000" w:themeColor="text1"/>
        </w:rPr>
        <w:t xml:space="preserve">in an approved </w:t>
      </w:r>
      <w:r w:rsidR="002B61FE">
        <w:rPr>
          <w:color w:val="000000" w:themeColor="text1"/>
        </w:rPr>
        <w:t>“</w:t>
      </w:r>
      <w:r w:rsidR="00CE2B97">
        <w:rPr>
          <w:color w:val="000000" w:themeColor="text1"/>
        </w:rPr>
        <w:t xml:space="preserve">energy </w:t>
      </w:r>
      <w:r w:rsidR="00CE2B97" w:rsidRPr="00675BC5">
        <w:rPr>
          <w:color w:val="000000" w:themeColor="text1"/>
        </w:rPr>
        <w:t>pooling compliance mechanism</w:t>
      </w:r>
      <w:r w:rsidR="00C472EF">
        <w:rPr>
          <w:color w:val="000000" w:themeColor="text1"/>
        </w:rPr>
        <w:t>”</w:t>
      </w:r>
      <w:r w:rsidR="00CE2B97">
        <w:rPr>
          <w:color w:val="000000" w:themeColor="text1"/>
        </w:rPr>
        <w:t xml:space="preserve"> </w:t>
      </w:r>
      <w:r w:rsidR="009B560C" w:rsidRPr="00B261D8">
        <w:rPr>
          <w:color w:val="000000" w:themeColor="text1"/>
        </w:rPr>
        <w:t>would be similar to that used under the ISM Code</w:t>
      </w:r>
      <w:r w:rsidR="00E13368">
        <w:rPr>
          <w:color w:val="000000" w:themeColor="text1"/>
        </w:rPr>
        <w:t>.</w:t>
      </w:r>
    </w:p>
    <w:p w14:paraId="1D93B5E0" w14:textId="77777777" w:rsidR="00E13368" w:rsidRDefault="00E13368" w:rsidP="009136C3">
      <w:pPr>
        <w:tabs>
          <w:tab w:val="clear" w:pos="851"/>
        </w:tabs>
        <w:rPr>
          <w:color w:val="000000" w:themeColor="text1"/>
        </w:rPr>
      </w:pPr>
    </w:p>
    <w:p w14:paraId="2FC26C42" w14:textId="3A084E65" w:rsidR="007C6AC7" w:rsidRDefault="00010016" w:rsidP="007C6AC7">
      <w:pPr>
        <w:rPr>
          <w:rFonts w:ascii="Calibri" w:hAnsi="Calibri"/>
        </w:rPr>
      </w:pPr>
      <w:r>
        <w:rPr>
          <w:color w:val="000000" w:themeColor="text1"/>
        </w:rPr>
        <w:t>19</w:t>
      </w:r>
      <w:r w:rsidR="00582E28">
        <w:rPr>
          <w:color w:val="000000" w:themeColor="text1"/>
        </w:rPr>
        <w:tab/>
      </w:r>
      <w:r w:rsidR="00004D41" w:rsidRPr="00675BC5">
        <w:rPr>
          <w:color w:val="000000" w:themeColor="text1"/>
        </w:rPr>
        <w:t xml:space="preserve">The </w:t>
      </w:r>
      <w:r w:rsidR="005D54A7">
        <w:rPr>
          <w:color w:val="000000" w:themeColor="text1"/>
        </w:rPr>
        <w:t xml:space="preserve">voluntary </w:t>
      </w:r>
      <w:r w:rsidR="00502112">
        <w:rPr>
          <w:color w:val="000000" w:themeColor="text1"/>
        </w:rPr>
        <w:t>“</w:t>
      </w:r>
      <w:r w:rsidR="00004D41" w:rsidRPr="00675BC5">
        <w:rPr>
          <w:color w:val="000000" w:themeColor="text1"/>
        </w:rPr>
        <w:t>energy pooling compliance mechanism</w:t>
      </w:r>
      <w:r w:rsidR="00502112">
        <w:rPr>
          <w:color w:val="000000" w:themeColor="text1"/>
        </w:rPr>
        <w:t>”</w:t>
      </w:r>
      <w:r w:rsidR="00004D41">
        <w:rPr>
          <w:color w:val="000000" w:themeColor="text1"/>
        </w:rPr>
        <w:t>, as set out in the Annex to this document,</w:t>
      </w:r>
      <w:r w:rsidR="00004D41" w:rsidRPr="00675BC5">
        <w:rPr>
          <w:color w:val="000000" w:themeColor="text1"/>
        </w:rPr>
        <w:t xml:space="preserve"> </w:t>
      </w:r>
      <w:r w:rsidR="00004D41">
        <w:rPr>
          <w:color w:val="000000" w:themeColor="text1"/>
        </w:rPr>
        <w:t>will provide the same flexibility as other proposals to enable compliance should fuels of the required GHG intensity not always be available</w:t>
      </w:r>
      <w:r w:rsidR="00EF173D">
        <w:rPr>
          <w:color w:val="000000" w:themeColor="text1"/>
        </w:rPr>
        <w:t xml:space="preserve">. However, it would </w:t>
      </w:r>
      <w:r w:rsidR="00004D41">
        <w:rPr>
          <w:color w:val="000000" w:themeColor="text1"/>
        </w:rPr>
        <w:t>avoid</w:t>
      </w:r>
      <w:r w:rsidR="00EF173D">
        <w:rPr>
          <w:color w:val="000000" w:themeColor="text1"/>
        </w:rPr>
        <w:t xml:space="preserve"> the</w:t>
      </w:r>
      <w:r w:rsidR="00004D41">
        <w:rPr>
          <w:color w:val="000000" w:themeColor="text1"/>
        </w:rPr>
        <w:t xml:space="preserve"> need for a complex system where “compliance units”</w:t>
      </w:r>
      <w:r w:rsidR="00EA0E2D">
        <w:rPr>
          <w:color w:val="000000" w:themeColor="text1"/>
        </w:rPr>
        <w:t xml:space="preserve"> and “</w:t>
      </w:r>
      <w:r w:rsidR="00004D41">
        <w:rPr>
          <w:color w:val="000000" w:themeColor="text1"/>
        </w:rPr>
        <w:t>re</w:t>
      </w:r>
      <w:r w:rsidR="00B6202B">
        <w:rPr>
          <w:color w:val="000000" w:themeColor="text1"/>
        </w:rPr>
        <w:t>medial</w:t>
      </w:r>
      <w:r w:rsidR="00004D41">
        <w:rPr>
          <w:color w:val="000000" w:themeColor="text1"/>
        </w:rPr>
        <w:t xml:space="preserve"> units” are traded and reported to</w:t>
      </w:r>
      <w:r w:rsidR="003F3ABB">
        <w:rPr>
          <w:color w:val="000000" w:themeColor="text1"/>
        </w:rPr>
        <w:t>,</w:t>
      </w:r>
      <w:r w:rsidR="00004D41">
        <w:rPr>
          <w:color w:val="000000" w:themeColor="text1"/>
        </w:rPr>
        <w:t xml:space="preserve"> or purchased from</w:t>
      </w:r>
      <w:r w:rsidR="0005143A">
        <w:rPr>
          <w:color w:val="000000" w:themeColor="text1"/>
        </w:rPr>
        <w:t>,</w:t>
      </w:r>
      <w:r w:rsidR="00004D41">
        <w:rPr>
          <w:color w:val="000000" w:themeColor="text1"/>
        </w:rPr>
        <w:t xml:space="preserve"> a central IMO registry</w:t>
      </w:r>
      <w:r w:rsidR="00EA0E2D">
        <w:rPr>
          <w:color w:val="000000" w:themeColor="text1"/>
        </w:rPr>
        <w:t xml:space="preserve">. This would </w:t>
      </w:r>
      <w:r w:rsidR="00004D41">
        <w:rPr>
          <w:color w:val="000000" w:themeColor="text1"/>
        </w:rPr>
        <w:t>avoid considerable administrative burden for the Organization, flag States and ships which an overly complex system would entail</w:t>
      </w:r>
      <w:r w:rsidR="00E90883">
        <w:rPr>
          <w:color w:val="000000" w:themeColor="text1"/>
        </w:rPr>
        <w:t>.</w:t>
      </w:r>
      <w:r w:rsidR="007C6AC7" w:rsidRPr="007C6AC7">
        <w:t xml:space="preserve"> </w:t>
      </w:r>
      <w:r w:rsidR="00D2391E" w:rsidRPr="00702C2C">
        <w:rPr>
          <w:color w:val="000000" w:themeColor="text1"/>
        </w:rPr>
        <w:t xml:space="preserve">However, </w:t>
      </w:r>
      <w:r w:rsidR="008B6998" w:rsidRPr="00702C2C">
        <w:rPr>
          <w:color w:val="000000" w:themeColor="text1"/>
        </w:rPr>
        <w:t>th</w:t>
      </w:r>
      <w:r w:rsidR="00343D6C" w:rsidRPr="00702C2C">
        <w:rPr>
          <w:color w:val="000000" w:themeColor="text1"/>
        </w:rPr>
        <w:t>e suggest</w:t>
      </w:r>
      <w:r w:rsidR="00D046F9" w:rsidRPr="00702C2C">
        <w:rPr>
          <w:color w:val="000000" w:themeColor="text1"/>
        </w:rPr>
        <w:t>ed</w:t>
      </w:r>
      <w:r w:rsidR="00343D6C" w:rsidRPr="00702C2C">
        <w:rPr>
          <w:color w:val="000000" w:themeColor="text1"/>
        </w:rPr>
        <w:t xml:space="preserve"> draft regulations</w:t>
      </w:r>
      <w:r w:rsidR="00E00FB0" w:rsidRPr="00702C2C">
        <w:rPr>
          <w:color w:val="000000" w:themeColor="text1"/>
        </w:rPr>
        <w:t xml:space="preserve">, at annex, </w:t>
      </w:r>
      <w:r w:rsidR="00D2391E" w:rsidRPr="00702C2C">
        <w:rPr>
          <w:color w:val="000000" w:themeColor="text1"/>
        </w:rPr>
        <w:t xml:space="preserve">would </w:t>
      </w:r>
      <w:r w:rsidR="00E00FB0" w:rsidRPr="00702C2C">
        <w:rPr>
          <w:color w:val="000000" w:themeColor="text1"/>
        </w:rPr>
        <w:t xml:space="preserve">require </w:t>
      </w:r>
      <w:r w:rsidR="00096E8F" w:rsidRPr="00702C2C">
        <w:rPr>
          <w:rFonts w:cs="Arial"/>
          <w:color w:val="000000" w:themeColor="text1"/>
          <w:szCs w:val="22"/>
        </w:rPr>
        <w:t>Administration</w:t>
      </w:r>
      <w:r w:rsidR="004D7494" w:rsidRPr="00702C2C">
        <w:rPr>
          <w:rFonts w:cs="Arial"/>
          <w:color w:val="000000" w:themeColor="text1"/>
          <w:szCs w:val="22"/>
        </w:rPr>
        <w:t>s</w:t>
      </w:r>
      <w:r w:rsidR="00096E8F" w:rsidRPr="00702C2C">
        <w:rPr>
          <w:rFonts w:cs="Arial"/>
          <w:color w:val="000000" w:themeColor="text1"/>
          <w:szCs w:val="22"/>
        </w:rPr>
        <w:t xml:space="preserve"> that allow the use of an energy pooling compliance mechanism </w:t>
      </w:r>
      <w:r w:rsidR="004D7494" w:rsidRPr="00702C2C">
        <w:rPr>
          <w:rFonts w:cs="Arial"/>
          <w:color w:val="000000" w:themeColor="text1"/>
          <w:szCs w:val="22"/>
        </w:rPr>
        <w:t xml:space="preserve">to </w:t>
      </w:r>
      <w:r w:rsidR="00096E8F" w:rsidRPr="00702C2C">
        <w:rPr>
          <w:rFonts w:cs="Arial"/>
          <w:color w:val="000000" w:themeColor="text1"/>
          <w:szCs w:val="22"/>
        </w:rPr>
        <w:t xml:space="preserve">communicate </w:t>
      </w:r>
      <w:r w:rsidR="004D7494" w:rsidRPr="00702C2C">
        <w:rPr>
          <w:rFonts w:cs="Arial"/>
          <w:color w:val="000000" w:themeColor="text1"/>
          <w:szCs w:val="22"/>
        </w:rPr>
        <w:t xml:space="preserve">this </w:t>
      </w:r>
      <w:r w:rsidR="00096E8F" w:rsidRPr="00702C2C">
        <w:rPr>
          <w:rFonts w:cs="Arial"/>
          <w:color w:val="000000" w:themeColor="text1"/>
          <w:szCs w:val="22"/>
        </w:rPr>
        <w:t>to the Organization for appropriate action</w:t>
      </w:r>
      <w:r w:rsidR="00A00FA9" w:rsidRPr="00702C2C">
        <w:rPr>
          <w:color w:val="000000" w:themeColor="text1"/>
        </w:rPr>
        <w:t xml:space="preserve">, and </w:t>
      </w:r>
      <w:r w:rsidR="00EF557A">
        <w:rPr>
          <w:color w:val="000000" w:themeColor="text1"/>
        </w:rPr>
        <w:t>the co-sponsors</w:t>
      </w:r>
      <w:r w:rsidR="00EF557A" w:rsidRPr="00702C2C">
        <w:rPr>
          <w:color w:val="000000" w:themeColor="text1"/>
        </w:rPr>
        <w:t xml:space="preserve"> </w:t>
      </w:r>
      <w:r w:rsidR="00A56F55" w:rsidRPr="00702C2C">
        <w:rPr>
          <w:color w:val="000000" w:themeColor="text1"/>
        </w:rPr>
        <w:t>note</w:t>
      </w:r>
      <w:r w:rsidR="002A30D0" w:rsidRPr="00702C2C">
        <w:rPr>
          <w:color w:val="000000" w:themeColor="text1"/>
        </w:rPr>
        <w:t xml:space="preserve">, if </w:t>
      </w:r>
      <w:r w:rsidR="00FE35D4" w:rsidRPr="00702C2C">
        <w:rPr>
          <w:color w:val="000000" w:themeColor="text1"/>
        </w:rPr>
        <w:t>deemed appropriate</w:t>
      </w:r>
      <w:r w:rsidR="002A30D0" w:rsidRPr="00702C2C">
        <w:rPr>
          <w:color w:val="000000" w:themeColor="text1"/>
        </w:rPr>
        <w:t xml:space="preserve">, </w:t>
      </w:r>
      <w:r w:rsidR="007C6AC7" w:rsidRPr="00702C2C">
        <w:rPr>
          <w:color w:val="000000" w:themeColor="text1"/>
        </w:rPr>
        <w:t xml:space="preserve">that </w:t>
      </w:r>
      <w:r w:rsidR="00824759" w:rsidRPr="00702C2C">
        <w:rPr>
          <w:color w:val="000000" w:themeColor="text1"/>
        </w:rPr>
        <w:t xml:space="preserve">suggested </w:t>
      </w:r>
      <w:r w:rsidR="00C27F3F" w:rsidRPr="00702C2C">
        <w:rPr>
          <w:color w:val="000000" w:themeColor="text1"/>
        </w:rPr>
        <w:t>draft r</w:t>
      </w:r>
      <w:r w:rsidR="007C6AC7" w:rsidRPr="00702C2C">
        <w:rPr>
          <w:color w:val="000000" w:themeColor="text1"/>
        </w:rPr>
        <w:t>egulation 41.7 provides scope for a module in GISIS to be developed.</w:t>
      </w:r>
    </w:p>
    <w:p w14:paraId="2BF69479" w14:textId="77777777" w:rsidR="00DE1983" w:rsidRDefault="00DE1983" w:rsidP="009136C3">
      <w:pPr>
        <w:tabs>
          <w:tab w:val="clear" w:pos="851"/>
        </w:tabs>
        <w:rPr>
          <w:color w:val="000000" w:themeColor="text1"/>
        </w:rPr>
      </w:pPr>
    </w:p>
    <w:p w14:paraId="3B4A3151" w14:textId="145E8F9E" w:rsidR="00DE1983" w:rsidRDefault="00010016" w:rsidP="009136C3">
      <w:pPr>
        <w:tabs>
          <w:tab w:val="clear" w:pos="851"/>
        </w:tabs>
        <w:rPr>
          <w:color w:val="000000" w:themeColor="text1"/>
        </w:rPr>
      </w:pPr>
      <w:r>
        <w:rPr>
          <w:color w:val="000000" w:themeColor="text1"/>
        </w:rPr>
        <w:t>20</w:t>
      </w:r>
      <w:r w:rsidR="00582E28">
        <w:rPr>
          <w:color w:val="000000" w:themeColor="text1"/>
        </w:rPr>
        <w:tab/>
      </w:r>
      <w:r w:rsidR="00EF557A">
        <w:rPr>
          <w:color w:val="000000" w:themeColor="text1"/>
        </w:rPr>
        <w:t xml:space="preserve">The co-sponsors </w:t>
      </w:r>
      <w:r w:rsidR="009636C0">
        <w:rPr>
          <w:color w:val="000000" w:themeColor="text1"/>
        </w:rPr>
        <w:t xml:space="preserve">further </w:t>
      </w:r>
      <w:r w:rsidR="00A014E5">
        <w:rPr>
          <w:color w:val="000000" w:themeColor="text1"/>
        </w:rPr>
        <w:t>suggest</w:t>
      </w:r>
      <w:r w:rsidR="006C4944">
        <w:rPr>
          <w:color w:val="000000" w:themeColor="text1"/>
        </w:rPr>
        <w:t xml:space="preserve"> that the </w:t>
      </w:r>
      <w:r w:rsidR="006C4944" w:rsidRPr="008D2EFE">
        <w:rPr>
          <w:color w:val="000000" w:themeColor="text1"/>
        </w:rPr>
        <w:t>“energy pooling compliance mechanism</w:t>
      </w:r>
      <w:r w:rsidR="00935F71">
        <w:rPr>
          <w:color w:val="000000" w:themeColor="text1"/>
        </w:rPr>
        <w:t xml:space="preserve">”, </w:t>
      </w:r>
      <w:r w:rsidR="00582E28">
        <w:rPr>
          <w:color w:val="000000" w:themeColor="text1"/>
        </w:rPr>
        <w:t xml:space="preserve">as </w:t>
      </w:r>
      <w:r w:rsidR="00935F71">
        <w:rPr>
          <w:color w:val="000000" w:themeColor="text1"/>
        </w:rPr>
        <w:t xml:space="preserve">set out in the </w:t>
      </w:r>
      <w:r w:rsidR="00582E28">
        <w:rPr>
          <w:color w:val="000000" w:themeColor="text1"/>
        </w:rPr>
        <w:t>a</w:t>
      </w:r>
      <w:r w:rsidR="00935F71">
        <w:rPr>
          <w:color w:val="000000" w:themeColor="text1"/>
        </w:rPr>
        <w:t>nnex to thi</w:t>
      </w:r>
      <w:r w:rsidR="009636C0">
        <w:rPr>
          <w:color w:val="000000" w:themeColor="text1"/>
        </w:rPr>
        <w:t>s</w:t>
      </w:r>
      <w:r w:rsidR="00935F71">
        <w:rPr>
          <w:color w:val="000000" w:themeColor="text1"/>
        </w:rPr>
        <w:t xml:space="preserve"> document</w:t>
      </w:r>
      <w:r w:rsidR="00BA337D">
        <w:rPr>
          <w:color w:val="000000" w:themeColor="text1"/>
        </w:rPr>
        <w:t xml:space="preserve">, compared to </w:t>
      </w:r>
      <w:r w:rsidR="003A5488">
        <w:rPr>
          <w:color w:val="000000" w:themeColor="text1"/>
        </w:rPr>
        <w:t xml:space="preserve">previous </w:t>
      </w:r>
      <w:r w:rsidR="00BA337D">
        <w:rPr>
          <w:color w:val="000000" w:themeColor="text1"/>
        </w:rPr>
        <w:t xml:space="preserve">proposals, will </w:t>
      </w:r>
      <w:r w:rsidR="00A014E5">
        <w:rPr>
          <w:color w:val="000000" w:themeColor="text1"/>
        </w:rPr>
        <w:t xml:space="preserve">make </w:t>
      </w:r>
      <w:r w:rsidR="00CA5539">
        <w:rPr>
          <w:color w:val="000000" w:themeColor="text1"/>
        </w:rPr>
        <w:t>adoption</w:t>
      </w:r>
      <w:r w:rsidR="00A014E5">
        <w:rPr>
          <w:color w:val="000000" w:themeColor="text1"/>
        </w:rPr>
        <w:t xml:space="preserve"> and global implementation of a GFS more likely to be practically feasible by 2027 as called for by the 2023 GHG Strategy</w:t>
      </w:r>
      <w:r w:rsidR="00582E28">
        <w:rPr>
          <w:color w:val="000000" w:themeColor="text1"/>
        </w:rPr>
        <w:t>.</w:t>
      </w:r>
    </w:p>
    <w:p w14:paraId="6366823A" w14:textId="77777777" w:rsidR="00E13368" w:rsidRDefault="00E13368" w:rsidP="009136C3">
      <w:pPr>
        <w:tabs>
          <w:tab w:val="clear" w:pos="851"/>
        </w:tabs>
        <w:rPr>
          <w:color w:val="000000" w:themeColor="text1"/>
        </w:rPr>
      </w:pPr>
    </w:p>
    <w:p w14:paraId="38469F8C" w14:textId="0AB4B116" w:rsidR="009B560C" w:rsidRPr="00675BC5" w:rsidRDefault="0011736F" w:rsidP="00675BC5">
      <w:pPr>
        <w:tabs>
          <w:tab w:val="clear" w:pos="851"/>
        </w:tabs>
        <w:rPr>
          <w:b/>
          <w:bCs/>
          <w:color w:val="000000" w:themeColor="text1"/>
        </w:rPr>
      </w:pPr>
      <w:r w:rsidRPr="00675BC5">
        <w:rPr>
          <w:b/>
          <w:bCs/>
          <w:color w:val="000000" w:themeColor="text1"/>
        </w:rPr>
        <w:t>P</w:t>
      </w:r>
      <w:r w:rsidR="009B560C" w:rsidRPr="00675BC5">
        <w:rPr>
          <w:b/>
          <w:bCs/>
          <w:color w:val="000000" w:themeColor="text1"/>
        </w:rPr>
        <w:t xml:space="preserve">ossible extension of the application of the </w:t>
      </w:r>
      <w:r w:rsidRPr="00675BC5">
        <w:rPr>
          <w:b/>
          <w:bCs/>
          <w:color w:val="000000" w:themeColor="text1"/>
        </w:rPr>
        <w:t>GFS</w:t>
      </w:r>
      <w:r w:rsidR="00CE4D4F" w:rsidRPr="00675BC5">
        <w:rPr>
          <w:b/>
          <w:bCs/>
          <w:color w:val="000000" w:themeColor="text1"/>
        </w:rPr>
        <w:t>,</w:t>
      </w:r>
      <w:r w:rsidRPr="00675BC5">
        <w:rPr>
          <w:b/>
          <w:bCs/>
          <w:color w:val="000000" w:themeColor="text1"/>
        </w:rPr>
        <w:t xml:space="preserve"> </w:t>
      </w:r>
      <w:r w:rsidR="009B560C" w:rsidRPr="00675BC5">
        <w:rPr>
          <w:b/>
          <w:bCs/>
          <w:color w:val="000000" w:themeColor="text1"/>
        </w:rPr>
        <w:t>as with other provisions for fuel standards under MARPOL Annex VI,</w:t>
      </w:r>
      <w:r w:rsidR="00CE4D4F" w:rsidRPr="00675BC5">
        <w:rPr>
          <w:b/>
          <w:bCs/>
          <w:color w:val="000000" w:themeColor="text1"/>
        </w:rPr>
        <w:t xml:space="preserve"> </w:t>
      </w:r>
      <w:r w:rsidR="009B560C" w:rsidRPr="00675BC5">
        <w:rPr>
          <w:b/>
          <w:bCs/>
          <w:color w:val="000000" w:themeColor="text1"/>
        </w:rPr>
        <w:t xml:space="preserve">to ships of 400 GT and above </w:t>
      </w:r>
    </w:p>
    <w:p w14:paraId="0863875E" w14:textId="77777777" w:rsidR="009B560C" w:rsidRPr="00675BC5" w:rsidRDefault="009B560C" w:rsidP="009B560C">
      <w:pPr>
        <w:tabs>
          <w:tab w:val="clear" w:pos="851"/>
        </w:tabs>
        <w:ind w:left="1691" w:hanging="840"/>
        <w:rPr>
          <w:b/>
          <w:bCs/>
          <w:color w:val="000000" w:themeColor="text1"/>
        </w:rPr>
      </w:pPr>
    </w:p>
    <w:p w14:paraId="4EBEF320" w14:textId="5F67A829" w:rsidR="00F2377D" w:rsidRDefault="00010016" w:rsidP="000E07A1">
      <w:pPr>
        <w:tabs>
          <w:tab w:val="clear" w:pos="851"/>
        </w:tabs>
        <w:rPr>
          <w:color w:val="000000" w:themeColor="text1"/>
        </w:rPr>
      </w:pPr>
      <w:r>
        <w:rPr>
          <w:color w:val="000000" w:themeColor="text1"/>
        </w:rPr>
        <w:t>21</w:t>
      </w:r>
      <w:r w:rsidR="001D3EC5">
        <w:rPr>
          <w:color w:val="000000" w:themeColor="text1"/>
        </w:rPr>
        <w:tab/>
      </w:r>
      <w:r w:rsidR="00EF557A">
        <w:rPr>
          <w:color w:val="000000" w:themeColor="text1"/>
        </w:rPr>
        <w:t xml:space="preserve">The co-sponsors </w:t>
      </w:r>
      <w:r w:rsidR="000E07A1">
        <w:rPr>
          <w:color w:val="000000" w:themeColor="text1"/>
        </w:rPr>
        <w:t>note that previous</w:t>
      </w:r>
      <w:r w:rsidR="00DA5CC4">
        <w:rPr>
          <w:color w:val="000000" w:themeColor="text1"/>
        </w:rPr>
        <w:t>,</w:t>
      </w:r>
      <w:r w:rsidR="000E07A1">
        <w:rPr>
          <w:color w:val="000000" w:themeColor="text1"/>
        </w:rPr>
        <w:t xml:space="preserve"> </w:t>
      </w:r>
      <w:r w:rsidR="009B560C">
        <w:rPr>
          <w:color w:val="000000" w:themeColor="text1"/>
        </w:rPr>
        <w:t>more complex</w:t>
      </w:r>
      <w:r w:rsidR="00DA5CC4">
        <w:rPr>
          <w:color w:val="000000" w:themeColor="text1"/>
        </w:rPr>
        <w:t>,</w:t>
      </w:r>
      <w:r w:rsidR="009B560C">
        <w:rPr>
          <w:color w:val="000000" w:themeColor="text1"/>
        </w:rPr>
        <w:t xml:space="preserve"> proposals for a GFS set a tonnage threshold at 5,000 GT and above</w:t>
      </w:r>
      <w:r w:rsidR="001136EE">
        <w:rPr>
          <w:color w:val="000000" w:themeColor="text1"/>
        </w:rPr>
        <w:t xml:space="preserve">, although </w:t>
      </w:r>
      <w:r w:rsidR="006E1416">
        <w:rPr>
          <w:color w:val="000000" w:themeColor="text1"/>
        </w:rPr>
        <w:t xml:space="preserve">other provisions with fuel standards under MARPOL Annex </w:t>
      </w:r>
      <w:r w:rsidR="00FD422D">
        <w:rPr>
          <w:color w:val="000000" w:themeColor="text1"/>
        </w:rPr>
        <w:t>VI apply to ships of 400 GT and above.</w:t>
      </w:r>
      <w:r w:rsidR="00CE4D4F">
        <w:rPr>
          <w:color w:val="000000" w:themeColor="text1"/>
        </w:rPr>
        <w:t xml:space="preserve"> </w:t>
      </w:r>
      <w:r w:rsidR="009B560C">
        <w:rPr>
          <w:color w:val="000000" w:themeColor="text1"/>
        </w:rPr>
        <w:t xml:space="preserve">Presumably this is because these </w:t>
      </w:r>
      <w:r w:rsidR="004E0632">
        <w:rPr>
          <w:color w:val="000000" w:themeColor="text1"/>
        </w:rPr>
        <w:t>proposals r</w:t>
      </w:r>
      <w:r w:rsidR="009B560C">
        <w:rPr>
          <w:color w:val="000000" w:themeColor="text1"/>
        </w:rPr>
        <w:t>equire the use of the IMO Fuel Oil Data Collection System (DCS) so that data about the GHG intensity of fuel can be reported and verified annually to demonstrate compliance, and the requirement to use the DCS is currently limited to ships of 5,000 GT and above.</w:t>
      </w:r>
    </w:p>
    <w:p w14:paraId="359CDE11" w14:textId="77777777" w:rsidR="00F2377D" w:rsidRDefault="00F2377D" w:rsidP="000E07A1">
      <w:pPr>
        <w:tabs>
          <w:tab w:val="clear" w:pos="851"/>
        </w:tabs>
        <w:rPr>
          <w:color w:val="000000" w:themeColor="text1"/>
        </w:rPr>
      </w:pPr>
    </w:p>
    <w:p w14:paraId="4416CD9C" w14:textId="503A1926" w:rsidR="003964B0" w:rsidRDefault="00010016" w:rsidP="000E07A1">
      <w:pPr>
        <w:tabs>
          <w:tab w:val="clear" w:pos="851"/>
        </w:tabs>
        <w:rPr>
          <w:color w:val="000000" w:themeColor="text1"/>
        </w:rPr>
      </w:pPr>
      <w:r>
        <w:rPr>
          <w:color w:val="000000" w:themeColor="text1"/>
        </w:rPr>
        <w:lastRenderedPageBreak/>
        <w:t>22</w:t>
      </w:r>
      <w:r w:rsidR="001D3EC5">
        <w:rPr>
          <w:color w:val="000000" w:themeColor="text1"/>
        </w:rPr>
        <w:tab/>
      </w:r>
      <w:r w:rsidR="009B560C">
        <w:rPr>
          <w:color w:val="000000" w:themeColor="text1"/>
        </w:rPr>
        <w:t xml:space="preserve">However, the use of a 5,000 GT threshold would create a two tier market for the production and supply of marine fuel, especially after 2030 when the permitted GHG intensity of fuel is aggressively reduced. Due to the </w:t>
      </w:r>
      <w:r w:rsidR="00A735CC">
        <w:rPr>
          <w:color w:val="000000" w:themeColor="text1"/>
        </w:rPr>
        <w:t xml:space="preserve">significant </w:t>
      </w:r>
      <w:r w:rsidR="009B560C">
        <w:rPr>
          <w:color w:val="000000" w:themeColor="text1"/>
        </w:rPr>
        <w:t>difference in cost between existing fuels and those fuels with a lower GHG intensity as required by the fuel standard, this could also lead to unfair competition and perverse incentives</w:t>
      </w:r>
      <w:r w:rsidR="007F4928">
        <w:rPr>
          <w:color w:val="000000" w:themeColor="text1"/>
        </w:rPr>
        <w:t xml:space="preserve">, for </w:t>
      </w:r>
      <w:r w:rsidR="00BD486C">
        <w:rPr>
          <w:color w:val="000000" w:themeColor="text1"/>
        </w:rPr>
        <w:t xml:space="preserve">example </w:t>
      </w:r>
      <w:r w:rsidR="009B560C">
        <w:rPr>
          <w:color w:val="000000" w:themeColor="text1"/>
        </w:rPr>
        <w:t xml:space="preserve">to construct ‘paragraph’ ships that would not be required to comply with the GFS. </w:t>
      </w:r>
    </w:p>
    <w:p w14:paraId="42FD2150" w14:textId="77777777" w:rsidR="003964B0" w:rsidRDefault="003964B0" w:rsidP="000E07A1">
      <w:pPr>
        <w:tabs>
          <w:tab w:val="clear" w:pos="851"/>
        </w:tabs>
        <w:rPr>
          <w:color w:val="000000" w:themeColor="text1"/>
        </w:rPr>
      </w:pPr>
    </w:p>
    <w:p w14:paraId="6D4CDBE4" w14:textId="0F07F41A" w:rsidR="009B560C" w:rsidRDefault="00010016" w:rsidP="00675BC5">
      <w:pPr>
        <w:tabs>
          <w:tab w:val="clear" w:pos="851"/>
        </w:tabs>
        <w:rPr>
          <w:color w:val="000000" w:themeColor="text1"/>
        </w:rPr>
      </w:pPr>
      <w:r>
        <w:rPr>
          <w:color w:val="000000" w:themeColor="text1"/>
        </w:rPr>
        <w:t>23</w:t>
      </w:r>
      <w:r w:rsidR="001D3EC5">
        <w:rPr>
          <w:color w:val="000000" w:themeColor="text1"/>
        </w:rPr>
        <w:tab/>
      </w:r>
      <w:r w:rsidR="00EF557A">
        <w:rPr>
          <w:color w:val="000000" w:themeColor="text1"/>
        </w:rPr>
        <w:t xml:space="preserve">This </w:t>
      </w:r>
      <w:r w:rsidR="009B560C">
        <w:rPr>
          <w:color w:val="000000" w:themeColor="text1"/>
        </w:rPr>
        <w:t>simpler proposal</w:t>
      </w:r>
      <w:r w:rsidR="00E046AD">
        <w:rPr>
          <w:color w:val="000000" w:themeColor="text1"/>
        </w:rPr>
        <w:t>, as with IMO 2020</w:t>
      </w:r>
      <w:r w:rsidR="00F67674">
        <w:rPr>
          <w:color w:val="000000" w:themeColor="text1"/>
        </w:rPr>
        <w:t>,</w:t>
      </w:r>
      <w:r w:rsidR="00E046AD">
        <w:rPr>
          <w:color w:val="000000" w:themeColor="text1"/>
        </w:rPr>
        <w:t xml:space="preserve"> </w:t>
      </w:r>
      <w:r w:rsidR="009B560C">
        <w:rPr>
          <w:color w:val="000000" w:themeColor="text1"/>
        </w:rPr>
        <w:t xml:space="preserve">requires compliance by the ship with an absolute fuel standard and, unlike other </w:t>
      </w:r>
      <w:r w:rsidR="0093059C">
        <w:rPr>
          <w:color w:val="000000" w:themeColor="text1"/>
        </w:rPr>
        <w:t xml:space="preserve">more complex </w:t>
      </w:r>
      <w:r w:rsidR="009B560C">
        <w:rPr>
          <w:color w:val="000000" w:themeColor="text1"/>
        </w:rPr>
        <w:t xml:space="preserve">GFS proposals, </w:t>
      </w:r>
      <w:r w:rsidR="004C5BC3">
        <w:rPr>
          <w:color w:val="000000" w:themeColor="text1"/>
        </w:rPr>
        <w:t xml:space="preserve">does </w:t>
      </w:r>
      <w:r w:rsidR="009B560C">
        <w:rPr>
          <w:color w:val="000000" w:themeColor="text1"/>
        </w:rPr>
        <w:t>not require data from the DCS to be verified to demonstrate compliance</w:t>
      </w:r>
      <w:r w:rsidR="004162A9">
        <w:rPr>
          <w:color w:val="000000" w:themeColor="text1"/>
        </w:rPr>
        <w:t>,</w:t>
      </w:r>
      <w:r w:rsidR="00F67674">
        <w:rPr>
          <w:color w:val="000000" w:themeColor="text1"/>
        </w:rPr>
        <w:t xml:space="preserve"> </w:t>
      </w:r>
      <w:r w:rsidR="00577A59">
        <w:rPr>
          <w:color w:val="000000" w:themeColor="text1"/>
        </w:rPr>
        <w:t xml:space="preserve">so avoiding </w:t>
      </w:r>
      <w:r w:rsidR="0093059C">
        <w:rPr>
          <w:color w:val="000000" w:themeColor="text1"/>
        </w:rPr>
        <w:t xml:space="preserve">the </w:t>
      </w:r>
      <w:r w:rsidR="002D215D">
        <w:rPr>
          <w:color w:val="000000" w:themeColor="text1"/>
        </w:rPr>
        <w:t xml:space="preserve">additional </w:t>
      </w:r>
      <w:r w:rsidR="0093059C">
        <w:rPr>
          <w:color w:val="000000" w:themeColor="text1"/>
        </w:rPr>
        <w:t xml:space="preserve">administrative burden for flag States which this would entail. </w:t>
      </w:r>
      <w:r w:rsidR="009B560C">
        <w:rPr>
          <w:color w:val="000000" w:themeColor="text1"/>
        </w:rPr>
        <w:t xml:space="preserve">Should the </w:t>
      </w:r>
      <w:r w:rsidR="00EF5948">
        <w:rPr>
          <w:color w:val="000000" w:themeColor="text1"/>
        </w:rPr>
        <w:t>MEPC</w:t>
      </w:r>
      <w:r w:rsidR="009B560C">
        <w:rPr>
          <w:color w:val="000000" w:themeColor="text1"/>
        </w:rPr>
        <w:t xml:space="preserve"> so decide, this approach could </w:t>
      </w:r>
      <w:r w:rsidR="003964B0">
        <w:rPr>
          <w:color w:val="000000" w:themeColor="text1"/>
        </w:rPr>
        <w:t xml:space="preserve">therefore </w:t>
      </w:r>
      <w:r w:rsidR="009B560C">
        <w:rPr>
          <w:color w:val="000000" w:themeColor="text1"/>
        </w:rPr>
        <w:t>allow the requirement</w:t>
      </w:r>
      <w:r w:rsidR="00EF5948">
        <w:rPr>
          <w:color w:val="000000" w:themeColor="text1"/>
        </w:rPr>
        <w:t xml:space="preserve"> to comply with the GFS</w:t>
      </w:r>
      <w:r w:rsidR="009B560C">
        <w:rPr>
          <w:color w:val="000000" w:themeColor="text1"/>
        </w:rPr>
        <w:t xml:space="preserve"> to apply to ships of 400 GT and above</w:t>
      </w:r>
      <w:r w:rsidR="00EF5948">
        <w:rPr>
          <w:color w:val="000000" w:themeColor="text1"/>
        </w:rPr>
        <w:t>.</w:t>
      </w:r>
      <w:r w:rsidR="009B560C">
        <w:rPr>
          <w:color w:val="000000" w:themeColor="text1"/>
        </w:rPr>
        <w:t xml:space="preserve"> </w:t>
      </w:r>
      <w:r w:rsidR="00EF5948">
        <w:rPr>
          <w:color w:val="000000" w:themeColor="text1"/>
        </w:rPr>
        <w:t xml:space="preserve">This would allow </w:t>
      </w:r>
      <w:r w:rsidR="009B560C">
        <w:rPr>
          <w:color w:val="000000" w:themeColor="text1"/>
        </w:rPr>
        <w:t xml:space="preserve">more GHG emissions from international shipping </w:t>
      </w:r>
      <w:r w:rsidR="000E32F7">
        <w:rPr>
          <w:color w:val="000000" w:themeColor="text1"/>
        </w:rPr>
        <w:t xml:space="preserve">to </w:t>
      </w:r>
      <w:r w:rsidR="009B560C">
        <w:rPr>
          <w:color w:val="000000" w:themeColor="text1"/>
        </w:rPr>
        <w:t xml:space="preserve">come under the scope of the regulation enabling the levels of ambition in the 2023 GHG Strategy to be more readily achieved across the wider international </w:t>
      </w:r>
      <w:r w:rsidR="00D24AC9">
        <w:rPr>
          <w:color w:val="000000" w:themeColor="text1"/>
        </w:rPr>
        <w:t xml:space="preserve">shipping </w:t>
      </w:r>
      <w:r w:rsidR="009B560C">
        <w:rPr>
          <w:color w:val="000000" w:themeColor="text1"/>
        </w:rPr>
        <w:t>fleet. However, as this would be a decision</w:t>
      </w:r>
      <w:r w:rsidR="000E32F7">
        <w:rPr>
          <w:color w:val="000000" w:themeColor="text1"/>
        </w:rPr>
        <w:t xml:space="preserve"> for Member State</w:t>
      </w:r>
      <w:r w:rsidR="00AE0BE5">
        <w:rPr>
          <w:color w:val="000000" w:themeColor="text1"/>
        </w:rPr>
        <w:t>s</w:t>
      </w:r>
      <w:r w:rsidR="000E32F7">
        <w:rPr>
          <w:color w:val="000000" w:themeColor="text1"/>
        </w:rPr>
        <w:t xml:space="preserve">, </w:t>
      </w:r>
      <w:r w:rsidR="009B560C">
        <w:rPr>
          <w:color w:val="000000" w:themeColor="text1"/>
        </w:rPr>
        <w:t>text concerning the tonnage threshold</w:t>
      </w:r>
      <w:r w:rsidR="00574725">
        <w:rPr>
          <w:color w:val="000000" w:themeColor="text1"/>
        </w:rPr>
        <w:t xml:space="preserve"> for the GFS</w:t>
      </w:r>
      <w:r w:rsidR="00AE0BE5">
        <w:rPr>
          <w:color w:val="000000" w:themeColor="text1"/>
        </w:rPr>
        <w:t>,</w:t>
      </w:r>
      <w:r w:rsidR="009B560C">
        <w:rPr>
          <w:color w:val="000000" w:themeColor="text1"/>
        </w:rPr>
        <w:t xml:space="preserve"> as set out in the annex to this document</w:t>
      </w:r>
      <w:r w:rsidR="00AE0BE5">
        <w:rPr>
          <w:color w:val="000000" w:themeColor="text1"/>
        </w:rPr>
        <w:t>,</w:t>
      </w:r>
      <w:r w:rsidR="009B560C">
        <w:rPr>
          <w:color w:val="000000" w:themeColor="text1"/>
        </w:rPr>
        <w:t xml:space="preserve"> has been placed in ‘square brackets’. </w:t>
      </w:r>
    </w:p>
    <w:p w14:paraId="389CA341" w14:textId="77777777" w:rsidR="009B560C" w:rsidRDefault="009B560C" w:rsidP="009B560C">
      <w:pPr>
        <w:tabs>
          <w:tab w:val="clear" w:pos="851"/>
        </w:tabs>
        <w:rPr>
          <w:color w:val="000000" w:themeColor="text1"/>
        </w:rPr>
      </w:pPr>
    </w:p>
    <w:p w14:paraId="446D94E3" w14:textId="77777777" w:rsidR="006E1588" w:rsidRDefault="006E1588" w:rsidP="00FD713A">
      <w:pPr>
        <w:tabs>
          <w:tab w:val="clear" w:pos="851"/>
        </w:tabs>
        <w:rPr>
          <w:b/>
          <w:bCs/>
        </w:rPr>
      </w:pPr>
      <w:r w:rsidRPr="00675BC5">
        <w:rPr>
          <w:b/>
          <w:bCs/>
        </w:rPr>
        <w:t xml:space="preserve">Feasibility, effectiveness and impacts on States </w:t>
      </w:r>
    </w:p>
    <w:p w14:paraId="7CC2C46F" w14:textId="77777777" w:rsidR="00D96667" w:rsidRDefault="00D96667" w:rsidP="00FD713A">
      <w:pPr>
        <w:tabs>
          <w:tab w:val="clear" w:pos="851"/>
        </w:tabs>
        <w:rPr>
          <w:b/>
          <w:bCs/>
        </w:rPr>
      </w:pPr>
    </w:p>
    <w:p w14:paraId="4AB0D879" w14:textId="228294DF" w:rsidR="00D96667" w:rsidRDefault="006954A2" w:rsidP="00FD713A">
      <w:pPr>
        <w:tabs>
          <w:tab w:val="clear" w:pos="851"/>
        </w:tabs>
        <w:rPr>
          <w:b/>
          <w:bCs/>
        </w:rPr>
      </w:pPr>
      <w:r>
        <w:rPr>
          <w:color w:val="000000" w:themeColor="text1"/>
        </w:rPr>
        <w:t>2</w:t>
      </w:r>
      <w:r w:rsidR="00340F5D">
        <w:rPr>
          <w:color w:val="000000" w:themeColor="text1"/>
        </w:rPr>
        <w:t>4</w:t>
      </w:r>
      <w:r>
        <w:rPr>
          <w:color w:val="000000" w:themeColor="text1"/>
        </w:rPr>
        <w:tab/>
      </w:r>
      <w:r w:rsidR="00D96667">
        <w:rPr>
          <w:color w:val="000000" w:themeColor="text1"/>
        </w:rPr>
        <w:t>I</w:t>
      </w:r>
      <w:r w:rsidR="00D96667" w:rsidRPr="00CF4C72">
        <w:rPr>
          <w:color w:val="000000" w:themeColor="text1"/>
        </w:rPr>
        <w:t xml:space="preserve">n accordance with the Work plan for the development of mid-term GHG reduction measures, the decision at MEPC 80 on measures to be developed as a priority </w:t>
      </w:r>
      <w:r w:rsidR="00343EAA">
        <w:rPr>
          <w:color w:val="000000" w:themeColor="text1"/>
        </w:rPr>
        <w:t xml:space="preserve">was </w:t>
      </w:r>
      <w:r w:rsidR="00D96667" w:rsidRPr="00CF4C72">
        <w:rPr>
          <w:color w:val="000000" w:themeColor="text1"/>
        </w:rPr>
        <w:t>based on an assessment of the proposed measures, in particular their feasibility, their effectiveness to deliver the long-term levels of ambitions of the GHG Strategy and their potential impacts on States</w:t>
      </w:r>
      <w:r w:rsidR="00D96667">
        <w:rPr>
          <w:color w:val="000000" w:themeColor="text1"/>
        </w:rPr>
        <w:t xml:space="preserve">. </w:t>
      </w:r>
      <w:r w:rsidR="00EF557A">
        <w:rPr>
          <w:color w:val="000000" w:themeColor="text1"/>
        </w:rPr>
        <w:t xml:space="preserve">The co-sponsors </w:t>
      </w:r>
      <w:r w:rsidR="00D96667">
        <w:rPr>
          <w:color w:val="000000" w:themeColor="text1"/>
        </w:rPr>
        <w:t xml:space="preserve">suggest that these criteria remain valid when, as identified as the purpose of </w:t>
      </w:r>
      <w:r w:rsidR="004C325F">
        <w:rPr>
          <w:color w:val="000000" w:themeColor="text1"/>
        </w:rPr>
        <w:t>P</w:t>
      </w:r>
      <w:r w:rsidR="00D96667">
        <w:rPr>
          <w:color w:val="000000" w:themeColor="text1"/>
        </w:rPr>
        <w:t>hase III of the Work Plan, there is a need to amend existing legal instruments and prepare the amendments as appropriate.</w:t>
      </w:r>
    </w:p>
    <w:p w14:paraId="0602EC5D" w14:textId="77777777" w:rsidR="00D96667" w:rsidRPr="00675BC5" w:rsidRDefault="00D96667" w:rsidP="00FD713A">
      <w:pPr>
        <w:tabs>
          <w:tab w:val="clear" w:pos="851"/>
        </w:tabs>
        <w:rPr>
          <w:b/>
          <w:bCs/>
        </w:rPr>
      </w:pPr>
    </w:p>
    <w:p w14:paraId="50DE3221" w14:textId="367E6688" w:rsidR="002377E3" w:rsidRPr="001E51C5" w:rsidRDefault="006E1588" w:rsidP="00FD713A">
      <w:pPr>
        <w:tabs>
          <w:tab w:val="clear" w:pos="851"/>
        </w:tabs>
        <w:rPr>
          <w:b/>
          <w:bCs/>
          <w:i/>
          <w:iCs/>
        </w:rPr>
      </w:pPr>
      <w:r w:rsidRPr="001E51C5">
        <w:rPr>
          <w:b/>
          <w:bCs/>
          <w:i/>
          <w:iCs/>
        </w:rPr>
        <w:t xml:space="preserve">Feasibility </w:t>
      </w:r>
    </w:p>
    <w:p w14:paraId="229F2246" w14:textId="77777777" w:rsidR="002377E3" w:rsidRPr="00675BC5" w:rsidRDefault="002377E3" w:rsidP="00FD713A">
      <w:pPr>
        <w:tabs>
          <w:tab w:val="clear" w:pos="851"/>
        </w:tabs>
        <w:rPr>
          <w:b/>
          <w:bCs/>
        </w:rPr>
      </w:pPr>
    </w:p>
    <w:p w14:paraId="6B31D697" w14:textId="5F2D38EF" w:rsidR="00011D92" w:rsidRDefault="006954A2" w:rsidP="00FD713A">
      <w:pPr>
        <w:tabs>
          <w:tab w:val="clear" w:pos="851"/>
        </w:tabs>
      </w:pPr>
      <w:r>
        <w:t>2</w:t>
      </w:r>
      <w:r w:rsidR="00340F5D">
        <w:t>5</w:t>
      </w:r>
      <w:r>
        <w:tab/>
      </w:r>
      <w:r w:rsidR="006E1588">
        <w:t xml:space="preserve">To assist the Group's understanding of the proposed GFS measure </w:t>
      </w:r>
      <w:r w:rsidR="00973F02">
        <w:t xml:space="preserve">(as well as that of the </w:t>
      </w:r>
      <w:r w:rsidR="00932550">
        <w:t xml:space="preserve">Steering Committee for the </w:t>
      </w:r>
      <w:r w:rsidR="00E318E0">
        <w:t>c</w:t>
      </w:r>
      <w:r w:rsidR="00932550">
        <w:t xml:space="preserve">omprehensive impact assessment </w:t>
      </w:r>
      <w:r w:rsidR="006F7B60">
        <w:t xml:space="preserve">(CIA) </w:t>
      </w:r>
      <w:r w:rsidR="00932550">
        <w:t>of the basket of candidate mid-term measures</w:t>
      </w:r>
      <w:r w:rsidR="00E318E0">
        <w:t>)</w:t>
      </w:r>
      <w:r w:rsidR="00973F02">
        <w:t xml:space="preserve"> </w:t>
      </w:r>
      <w:r w:rsidR="006E1588">
        <w:t xml:space="preserve">and demonstrate its feasibility, including rapid approval and adoption, the annex to this document sets out possible draft amendments to MARPOL Annex VI to implement the GFS. </w:t>
      </w:r>
    </w:p>
    <w:p w14:paraId="30440108" w14:textId="77777777" w:rsidR="00011D92" w:rsidRDefault="00011D92" w:rsidP="00FD713A">
      <w:pPr>
        <w:tabs>
          <w:tab w:val="clear" w:pos="851"/>
        </w:tabs>
      </w:pPr>
    </w:p>
    <w:p w14:paraId="59F96FD6" w14:textId="0695E198" w:rsidR="002377E3" w:rsidRDefault="00011D92" w:rsidP="00FD713A">
      <w:pPr>
        <w:tabs>
          <w:tab w:val="clear" w:pos="851"/>
        </w:tabs>
      </w:pPr>
      <w:r>
        <w:t>2</w:t>
      </w:r>
      <w:r w:rsidR="00340F5D">
        <w:t>6</w:t>
      </w:r>
      <w:r>
        <w:tab/>
      </w:r>
      <w:r w:rsidR="006E1588">
        <w:t xml:space="preserve">The simplified approach suggested by </w:t>
      </w:r>
      <w:r w:rsidR="00EF557A">
        <w:t>the co-sponsors</w:t>
      </w:r>
      <w:r w:rsidR="006E1588">
        <w:t xml:space="preserve">, at least until 2030, will minimize the need for the Organization to develop large sets of new guidelines so ensuring the measure can be uniformly and smoothly implemented. </w:t>
      </w:r>
    </w:p>
    <w:p w14:paraId="0EF7A198" w14:textId="77777777" w:rsidR="002377E3" w:rsidRDefault="002377E3" w:rsidP="00FD713A">
      <w:pPr>
        <w:tabs>
          <w:tab w:val="clear" w:pos="851"/>
        </w:tabs>
      </w:pPr>
    </w:p>
    <w:p w14:paraId="38FDEF29" w14:textId="3EFC28A2" w:rsidR="00230E4D" w:rsidRDefault="00011D92" w:rsidP="00FD713A">
      <w:pPr>
        <w:tabs>
          <w:tab w:val="clear" w:pos="851"/>
        </w:tabs>
      </w:pPr>
      <w:r>
        <w:t>2</w:t>
      </w:r>
      <w:r w:rsidR="00340F5D">
        <w:t>7</w:t>
      </w:r>
      <w:r>
        <w:tab/>
      </w:r>
      <w:r w:rsidR="006E1588">
        <w:t xml:space="preserve">As explained above, to assist rapid adoption, the simplified approach suggested by </w:t>
      </w:r>
      <w:r w:rsidR="00EF557A">
        <w:t xml:space="preserve">the co-sponsors </w:t>
      </w:r>
      <w:r w:rsidR="006E1588">
        <w:t xml:space="preserve">will make the </w:t>
      </w:r>
      <w:r w:rsidR="00A7160E">
        <w:t>c</w:t>
      </w:r>
      <w:r w:rsidR="006E1588">
        <w:t xml:space="preserve">omprehensive </w:t>
      </w:r>
      <w:r w:rsidR="00A7160E">
        <w:t>i</w:t>
      </w:r>
      <w:r w:rsidR="006E1588">
        <w:t xml:space="preserve">mpact </w:t>
      </w:r>
      <w:r w:rsidR="00A7160E">
        <w:t>a</w:t>
      </w:r>
      <w:r w:rsidR="006E1588">
        <w:t xml:space="preserve">ssessment </w:t>
      </w:r>
      <w:r w:rsidR="002852B9">
        <w:t xml:space="preserve">(CIA) </w:t>
      </w:r>
      <w:r w:rsidR="006E1588">
        <w:t xml:space="preserve">far easier to conduct, as for many States this assessment may be concerned with the additional costs of using compliant fuels in 2030, in combination, at the same time, with a </w:t>
      </w:r>
      <w:r w:rsidR="00BB7A08">
        <w:t>CIA</w:t>
      </w:r>
      <w:r w:rsidR="006E1588">
        <w:t xml:space="preserve"> of the </w:t>
      </w:r>
      <w:r w:rsidR="005737BD">
        <w:t xml:space="preserve">separate </w:t>
      </w:r>
      <w:r w:rsidR="006E1588">
        <w:t xml:space="preserve">economic measure. To expedite rapid adoption of the </w:t>
      </w:r>
      <w:r w:rsidR="00170022">
        <w:t xml:space="preserve">GFS </w:t>
      </w:r>
      <w:r w:rsidR="006E1588">
        <w:t xml:space="preserve">measure, Member States will also have the comfort of the suggested review of fuel costs and availability in 2028 before a final decision is taken to enforce the required GHG intensity standards in 2030. </w:t>
      </w:r>
    </w:p>
    <w:p w14:paraId="3E70BF99" w14:textId="77777777" w:rsidR="00230E4D" w:rsidRDefault="00230E4D" w:rsidP="00FD713A">
      <w:pPr>
        <w:tabs>
          <w:tab w:val="clear" w:pos="851"/>
        </w:tabs>
      </w:pPr>
    </w:p>
    <w:p w14:paraId="0E3FDD1B" w14:textId="4950C54C" w:rsidR="00B733BB" w:rsidRPr="00EF557A" w:rsidRDefault="00F20D46" w:rsidP="00EF557A">
      <w:pPr>
        <w:rPr>
          <w:rFonts w:ascii="Calibri" w:hAnsi="Calibri"/>
        </w:rPr>
      </w:pPr>
      <w:r>
        <w:t>2</w:t>
      </w:r>
      <w:r w:rsidR="00340F5D">
        <w:t>8</w:t>
      </w:r>
      <w:r>
        <w:tab/>
      </w:r>
      <w:r w:rsidR="006E1588">
        <w:t>As the use of fuels required to comply with the standard can be recorded on the Bunker Delivery Note</w:t>
      </w:r>
      <w:r w:rsidR="000F3FD8">
        <w:rPr>
          <w:rStyle w:val="FootnoteReference"/>
        </w:rPr>
        <w:footnoteReference w:id="3"/>
      </w:r>
      <w:r w:rsidR="004828A4">
        <w:t xml:space="preserve">, </w:t>
      </w:r>
      <w:r w:rsidR="006E1588">
        <w:t xml:space="preserve">which can be checked by the Administration and port State control, there will be no need for an additional system of verification or the establishment of additional </w:t>
      </w:r>
      <w:r w:rsidR="006E1588">
        <w:lastRenderedPageBreak/>
        <w:t xml:space="preserve">databases, thus minimizing the administrative burden on both the ship's Administration and the Organization. </w:t>
      </w:r>
    </w:p>
    <w:p w14:paraId="1BA8D16E" w14:textId="77777777" w:rsidR="00B733BB" w:rsidRDefault="00B733BB" w:rsidP="00FD713A">
      <w:pPr>
        <w:tabs>
          <w:tab w:val="clear" w:pos="851"/>
        </w:tabs>
      </w:pPr>
    </w:p>
    <w:p w14:paraId="58D3D9B7" w14:textId="77777777" w:rsidR="00B733BB" w:rsidRPr="001E51C5" w:rsidRDefault="006E1588" w:rsidP="00FD713A">
      <w:pPr>
        <w:tabs>
          <w:tab w:val="clear" w:pos="851"/>
        </w:tabs>
        <w:rPr>
          <w:i/>
          <w:iCs/>
        </w:rPr>
      </w:pPr>
      <w:r w:rsidRPr="001E51C5">
        <w:rPr>
          <w:b/>
          <w:bCs/>
          <w:i/>
          <w:iCs/>
        </w:rPr>
        <w:t>Effectiveness to deliver the long-term ambitions of the GHG Strategy</w:t>
      </w:r>
      <w:r w:rsidRPr="001E51C5">
        <w:rPr>
          <w:i/>
          <w:iCs/>
        </w:rPr>
        <w:t xml:space="preserve"> </w:t>
      </w:r>
    </w:p>
    <w:p w14:paraId="2F457ECD" w14:textId="77777777" w:rsidR="00B733BB" w:rsidRDefault="00B733BB" w:rsidP="00FD713A">
      <w:pPr>
        <w:tabs>
          <w:tab w:val="clear" w:pos="851"/>
        </w:tabs>
      </w:pPr>
    </w:p>
    <w:p w14:paraId="55772DCA" w14:textId="6AAFB354" w:rsidR="002377E3" w:rsidRDefault="00261A6B" w:rsidP="00FD713A">
      <w:pPr>
        <w:tabs>
          <w:tab w:val="clear" w:pos="851"/>
        </w:tabs>
      </w:pPr>
      <w:r>
        <w:t>2</w:t>
      </w:r>
      <w:r w:rsidR="00340F5D">
        <w:t>9</w:t>
      </w:r>
      <w:r>
        <w:tab/>
      </w:r>
      <w:r w:rsidR="006E1588">
        <w:t xml:space="preserve"> The simplified measure suggested by </w:t>
      </w:r>
      <w:r w:rsidR="00EF557A">
        <w:t xml:space="preserve">the co-sponsors </w:t>
      </w:r>
      <w:r w:rsidR="006E1588">
        <w:t>would send a strong and unambiguous signal to fuel producers about the need to produce the required compliant fuels, and could achieve a 5% reduction in the GHG intensity of marine fuels by 2030, equivalent to reducing emissions by about 50 million tonnes of CO</w:t>
      </w:r>
      <w:r w:rsidR="006E1588" w:rsidRPr="00547A28">
        <w:rPr>
          <w:vertAlign w:val="subscript"/>
        </w:rPr>
        <w:t>2</w:t>
      </w:r>
      <w:r w:rsidR="006E1588">
        <w:t xml:space="preserve">e per year from 2030. Moreover, the regulatory architecture would also be in place to mandate further reductions in the GHG intensity of fuels that would be necessary after 2030 to achieve net zero </w:t>
      </w:r>
      <w:r w:rsidR="00FD37BB">
        <w:t>GHG emissions</w:t>
      </w:r>
      <w:r w:rsidR="006E1588">
        <w:t xml:space="preserve"> </w:t>
      </w:r>
      <w:r w:rsidR="007E3802">
        <w:t>as soon as possible.</w:t>
      </w:r>
      <w:r w:rsidR="006E1588">
        <w:t xml:space="preserve"> </w:t>
      </w:r>
    </w:p>
    <w:p w14:paraId="016CF2A6" w14:textId="77777777" w:rsidR="002377E3" w:rsidRDefault="002377E3" w:rsidP="00FD713A">
      <w:pPr>
        <w:tabs>
          <w:tab w:val="clear" w:pos="851"/>
        </w:tabs>
      </w:pPr>
    </w:p>
    <w:p w14:paraId="0F3A464B" w14:textId="45686952" w:rsidR="002377E3" w:rsidRDefault="00340F5D" w:rsidP="00FD713A">
      <w:pPr>
        <w:tabs>
          <w:tab w:val="clear" w:pos="851"/>
        </w:tabs>
      </w:pPr>
      <w:r>
        <w:t>30</w:t>
      </w:r>
      <w:r w:rsidR="00BE13C2">
        <w:tab/>
      </w:r>
      <w:r w:rsidR="00EF557A">
        <w:t xml:space="preserve">The co-sponsors </w:t>
      </w:r>
      <w:r w:rsidR="006E1588">
        <w:t xml:space="preserve">reiterate that the delivery of levels of ambition of the </w:t>
      </w:r>
      <w:r w:rsidR="006F04DF">
        <w:t xml:space="preserve">2023 GHG </w:t>
      </w:r>
      <w:r w:rsidR="006E1588">
        <w:t>Strategy</w:t>
      </w:r>
      <w:r w:rsidR="006F04DF">
        <w:t xml:space="preserve"> </w:t>
      </w:r>
      <w:r w:rsidR="006E1588">
        <w:t xml:space="preserve">will be very much dependent on the production and availability to international shipping of </w:t>
      </w:r>
      <w:r w:rsidR="006F04DF">
        <w:t>near-zero</w:t>
      </w:r>
      <w:r w:rsidR="006E1588">
        <w:t xml:space="preserve"> and zero</w:t>
      </w:r>
      <w:r w:rsidR="004B3BBF">
        <w:t xml:space="preserve"> </w:t>
      </w:r>
      <w:r w:rsidR="006E1588">
        <w:t>GHG fuels in ports throughout the world, including developing countries, as well as technologies such as carbon capture and storage, which will require the adoption of a</w:t>
      </w:r>
      <w:r w:rsidR="00E476E1">
        <w:t xml:space="preserve"> separate </w:t>
      </w:r>
      <w:r w:rsidR="006E1588">
        <w:t xml:space="preserve"> economic measure in addition to a technical standard. </w:t>
      </w:r>
    </w:p>
    <w:p w14:paraId="1A11B076" w14:textId="77777777" w:rsidR="002377E3" w:rsidRDefault="002377E3" w:rsidP="00FD713A">
      <w:pPr>
        <w:tabs>
          <w:tab w:val="clear" w:pos="851"/>
        </w:tabs>
      </w:pPr>
    </w:p>
    <w:p w14:paraId="4B2BF564" w14:textId="519A7154" w:rsidR="00CB7CE6" w:rsidRDefault="00DC7D66" w:rsidP="00FD713A">
      <w:pPr>
        <w:tabs>
          <w:tab w:val="clear" w:pos="851"/>
        </w:tabs>
      </w:pPr>
      <w:r>
        <w:t>3</w:t>
      </w:r>
      <w:r w:rsidR="00340F5D">
        <w:t>1</w:t>
      </w:r>
      <w:r w:rsidR="006E1588">
        <w:t xml:space="preserve"> </w:t>
      </w:r>
      <w:r w:rsidR="00E476E1">
        <w:tab/>
      </w:r>
      <w:r w:rsidR="006E1588">
        <w:t xml:space="preserve">The GFS measure, as set out in the annex to this document, would be relatively simple to implement, which is important both from compliance/enforcement and administrative burden perspectives. </w:t>
      </w:r>
    </w:p>
    <w:p w14:paraId="2EB27A68" w14:textId="77777777" w:rsidR="00CB7CE6" w:rsidRDefault="00CB7CE6" w:rsidP="00FD713A">
      <w:pPr>
        <w:tabs>
          <w:tab w:val="clear" w:pos="851"/>
        </w:tabs>
      </w:pPr>
    </w:p>
    <w:p w14:paraId="2D2AA9C3" w14:textId="7FE2B3D5" w:rsidR="00A54C93" w:rsidRPr="001E51C5" w:rsidRDefault="006E1588" w:rsidP="00FD713A">
      <w:pPr>
        <w:tabs>
          <w:tab w:val="clear" w:pos="851"/>
        </w:tabs>
        <w:rPr>
          <w:b/>
          <w:bCs/>
          <w:i/>
          <w:iCs/>
        </w:rPr>
      </w:pPr>
      <w:r w:rsidRPr="001E51C5">
        <w:rPr>
          <w:b/>
          <w:bCs/>
          <w:i/>
          <w:iCs/>
        </w:rPr>
        <w:t xml:space="preserve">Potential impacts on States </w:t>
      </w:r>
    </w:p>
    <w:p w14:paraId="44ACC295" w14:textId="77777777" w:rsidR="00A54C93" w:rsidRPr="001E51C5" w:rsidRDefault="00A54C93" w:rsidP="00FD713A">
      <w:pPr>
        <w:tabs>
          <w:tab w:val="clear" w:pos="851"/>
        </w:tabs>
        <w:rPr>
          <w:i/>
          <w:iCs/>
        </w:rPr>
      </w:pPr>
    </w:p>
    <w:p w14:paraId="68A8092F" w14:textId="1A769479" w:rsidR="000B2A5A" w:rsidRDefault="00CB7CE6" w:rsidP="00FD713A">
      <w:pPr>
        <w:tabs>
          <w:tab w:val="clear" w:pos="851"/>
        </w:tabs>
      </w:pPr>
      <w:r>
        <w:t>3</w:t>
      </w:r>
      <w:r w:rsidR="00340F5D">
        <w:t>2</w:t>
      </w:r>
      <w:r>
        <w:tab/>
      </w:r>
      <w:r w:rsidR="006E1588">
        <w:t>Pursuant to MEPC.1/Circ.885/Rev.1,</w:t>
      </w:r>
      <w:r w:rsidR="00D36A79">
        <w:t xml:space="preserve"> </w:t>
      </w:r>
      <w:r w:rsidR="006E1588">
        <w:t xml:space="preserve">an initial impact assessment on States of the proposed GFS was set out in annex to document ISWG-GHG 12/3/4 (Austria et al). </w:t>
      </w:r>
      <w:r w:rsidR="00EF557A">
        <w:t xml:space="preserve">The co-sponsors </w:t>
      </w:r>
      <w:r w:rsidR="006E1588">
        <w:t>recognize that</w:t>
      </w:r>
      <w:r w:rsidR="009D4454">
        <w:t>, as agreed by MEPC 80,</w:t>
      </w:r>
      <w:r w:rsidR="006E1588">
        <w:t xml:space="preserve"> a </w:t>
      </w:r>
      <w:r w:rsidR="005C0046">
        <w:t>c</w:t>
      </w:r>
      <w:r w:rsidR="006E1588">
        <w:t xml:space="preserve">omprehensive </w:t>
      </w:r>
      <w:r w:rsidR="005C0046">
        <w:t>i</w:t>
      </w:r>
      <w:r w:rsidR="006E1588">
        <w:t xml:space="preserve">mpact </w:t>
      </w:r>
      <w:r w:rsidR="005C0046">
        <w:t>a</w:t>
      </w:r>
      <w:r w:rsidR="006E1588">
        <w:t xml:space="preserve">ssessment is required to be undertaken on the final basket of measures, subject to further consideration and agreement of those measures by Member States. </w:t>
      </w:r>
    </w:p>
    <w:p w14:paraId="45E4EED9" w14:textId="77777777" w:rsidR="000B2A5A" w:rsidRDefault="000B2A5A" w:rsidP="00FD713A">
      <w:pPr>
        <w:tabs>
          <w:tab w:val="clear" w:pos="851"/>
        </w:tabs>
      </w:pPr>
    </w:p>
    <w:p w14:paraId="4A6FD4CB" w14:textId="48CE37AB" w:rsidR="005978ED" w:rsidRDefault="00CB7CE6" w:rsidP="00FD713A">
      <w:pPr>
        <w:tabs>
          <w:tab w:val="clear" w:pos="851"/>
        </w:tabs>
        <w:rPr>
          <w:b/>
          <w:bCs/>
          <w:color w:val="000000" w:themeColor="text1"/>
        </w:rPr>
      </w:pPr>
      <w:r>
        <w:t>3</w:t>
      </w:r>
      <w:r w:rsidR="00340F5D">
        <w:t>3</w:t>
      </w:r>
      <w:r>
        <w:tab/>
      </w:r>
      <w:r w:rsidR="006E1588">
        <w:t xml:space="preserve"> </w:t>
      </w:r>
      <w:r w:rsidR="00AF406D">
        <w:t>Taking into account the findings of the ongoing CIA which is assessing the current proposals for a GFS, t</w:t>
      </w:r>
      <w:r w:rsidR="006E1588">
        <w:t xml:space="preserve">he advantage of the simpler approach suggested in this document by </w:t>
      </w:r>
      <w:r w:rsidR="00EF557A">
        <w:t xml:space="preserve">the co-sponsors </w:t>
      </w:r>
      <w:r w:rsidR="006E1588">
        <w:t xml:space="preserve">is that it should be far easier to conduct </w:t>
      </w:r>
      <w:r w:rsidR="00D90ECE">
        <w:t>the</w:t>
      </w:r>
      <w:r w:rsidR="00600D75">
        <w:t xml:space="preserve"> CIA</w:t>
      </w:r>
      <w:r w:rsidR="006E1588">
        <w:t xml:space="preserve"> of the measure for the year 2030, in combination with an assessment of the impact of </w:t>
      </w:r>
      <w:r w:rsidR="0048591D">
        <w:t xml:space="preserve">a separate </w:t>
      </w:r>
      <w:r w:rsidR="006E1588">
        <w:t xml:space="preserve">economic measure. Moreover, unlike the economic measure, the cost impacts of the technical measure suggested by </w:t>
      </w:r>
      <w:r w:rsidR="00EF557A">
        <w:t xml:space="preserve">the co-sponsors </w:t>
      </w:r>
      <w:r w:rsidR="006E1588">
        <w:t>would not occur until 2030.</w:t>
      </w:r>
    </w:p>
    <w:p w14:paraId="23D45105" w14:textId="77777777" w:rsidR="00FD713A" w:rsidRPr="00CF4C72" w:rsidRDefault="00FD713A" w:rsidP="00FD713A">
      <w:pPr>
        <w:tabs>
          <w:tab w:val="clear" w:pos="851"/>
        </w:tabs>
        <w:rPr>
          <w:b/>
          <w:bCs/>
          <w:color w:val="000000" w:themeColor="text1"/>
        </w:rPr>
      </w:pPr>
    </w:p>
    <w:p w14:paraId="23350190" w14:textId="7E51685B" w:rsidR="00FD713A" w:rsidRPr="00D37D4B" w:rsidRDefault="000B6B92" w:rsidP="00FD713A">
      <w:pPr>
        <w:tabs>
          <w:tab w:val="clear" w:pos="851"/>
        </w:tabs>
        <w:rPr>
          <w:b/>
          <w:bCs/>
          <w:color w:val="000000" w:themeColor="text1"/>
        </w:rPr>
      </w:pPr>
      <w:r w:rsidRPr="00D37D4B">
        <w:rPr>
          <w:b/>
          <w:bCs/>
          <w:color w:val="000000" w:themeColor="text1"/>
        </w:rPr>
        <w:t>POSSIBLE REVISED DRAFT AMENDMENTS TO MARPOL ANNEX VI</w:t>
      </w:r>
    </w:p>
    <w:p w14:paraId="4389B57F" w14:textId="77777777" w:rsidR="00FD713A" w:rsidRPr="00CF4C72" w:rsidRDefault="00FD713A" w:rsidP="00FD713A">
      <w:pPr>
        <w:tabs>
          <w:tab w:val="clear" w:pos="851"/>
        </w:tabs>
        <w:rPr>
          <w:color w:val="000000" w:themeColor="text1"/>
        </w:rPr>
      </w:pPr>
    </w:p>
    <w:p w14:paraId="1504AE38" w14:textId="1D4FEDF1" w:rsidR="00FD713A" w:rsidRPr="00CF4C72" w:rsidRDefault="00CB7CE6" w:rsidP="00FD713A">
      <w:pPr>
        <w:tabs>
          <w:tab w:val="clear" w:pos="851"/>
        </w:tabs>
        <w:rPr>
          <w:color w:val="000000" w:themeColor="text1"/>
        </w:rPr>
      </w:pPr>
      <w:r>
        <w:rPr>
          <w:color w:val="000000" w:themeColor="text1"/>
        </w:rPr>
        <w:t>3</w:t>
      </w:r>
      <w:r w:rsidR="00340F5D">
        <w:rPr>
          <w:color w:val="000000" w:themeColor="text1"/>
        </w:rPr>
        <w:t>4</w:t>
      </w:r>
      <w:r w:rsidR="00FD713A" w:rsidRPr="00CF4C72">
        <w:rPr>
          <w:color w:val="000000" w:themeColor="text1"/>
        </w:rPr>
        <w:tab/>
      </w:r>
      <w:r w:rsidR="003B320C">
        <w:rPr>
          <w:color w:val="000000" w:themeColor="text1"/>
        </w:rPr>
        <w:t xml:space="preserve">As well as the 2023 </w:t>
      </w:r>
      <w:r w:rsidR="00944306">
        <w:rPr>
          <w:color w:val="000000" w:themeColor="text1"/>
        </w:rPr>
        <w:t xml:space="preserve">GHG </w:t>
      </w:r>
      <w:r w:rsidR="00163EE5">
        <w:rPr>
          <w:color w:val="000000" w:themeColor="text1"/>
        </w:rPr>
        <w:t xml:space="preserve">Strategy adopted by MEPC 80, </w:t>
      </w:r>
      <w:r w:rsidR="00EF557A">
        <w:rPr>
          <w:color w:val="000000" w:themeColor="text1"/>
        </w:rPr>
        <w:t>the co-sponsors</w:t>
      </w:r>
      <w:r w:rsidR="00EF557A" w:rsidRPr="00CF4C72">
        <w:rPr>
          <w:color w:val="000000" w:themeColor="text1"/>
        </w:rPr>
        <w:t xml:space="preserve"> ha</w:t>
      </w:r>
      <w:r w:rsidR="00EF557A">
        <w:rPr>
          <w:color w:val="000000" w:themeColor="text1"/>
        </w:rPr>
        <w:t>ve</w:t>
      </w:r>
      <w:r w:rsidR="00EF557A" w:rsidRPr="00CF4C72">
        <w:rPr>
          <w:color w:val="000000" w:themeColor="text1"/>
        </w:rPr>
        <w:t xml:space="preserve"> </w:t>
      </w:r>
      <w:r w:rsidR="00FD713A" w:rsidRPr="00CF4C72">
        <w:rPr>
          <w:color w:val="000000" w:themeColor="text1"/>
        </w:rPr>
        <w:t xml:space="preserve">taken into account the discussion at ISWG-GHG </w:t>
      </w:r>
      <w:r w:rsidR="00BA1633">
        <w:rPr>
          <w:color w:val="000000" w:themeColor="text1"/>
        </w:rPr>
        <w:t>15</w:t>
      </w:r>
      <w:r w:rsidR="00FD713A" w:rsidRPr="00CF4C72">
        <w:rPr>
          <w:color w:val="000000" w:themeColor="text1"/>
        </w:rPr>
        <w:t xml:space="preserve"> </w:t>
      </w:r>
      <w:r w:rsidR="00035B7A">
        <w:rPr>
          <w:color w:val="000000" w:themeColor="text1"/>
        </w:rPr>
        <w:t xml:space="preserve">(MEPC 80/WP.7) </w:t>
      </w:r>
      <w:r w:rsidR="00BA1633">
        <w:rPr>
          <w:color w:val="000000" w:themeColor="text1"/>
        </w:rPr>
        <w:t xml:space="preserve">and </w:t>
      </w:r>
      <w:r w:rsidR="00035B7A">
        <w:rPr>
          <w:color w:val="000000" w:themeColor="text1"/>
        </w:rPr>
        <w:t>ISWG-GHG 14</w:t>
      </w:r>
      <w:r w:rsidR="00FD713A" w:rsidRPr="00CF4C72">
        <w:rPr>
          <w:color w:val="000000" w:themeColor="text1"/>
        </w:rPr>
        <w:t xml:space="preserve"> </w:t>
      </w:r>
      <w:r w:rsidR="00035B7A">
        <w:rPr>
          <w:color w:val="000000" w:themeColor="text1"/>
        </w:rPr>
        <w:t xml:space="preserve">(MEPC 80/WP.6) </w:t>
      </w:r>
      <w:r w:rsidR="00FD713A" w:rsidRPr="00CF4C72">
        <w:rPr>
          <w:color w:val="000000" w:themeColor="text1"/>
        </w:rPr>
        <w:t>and, in particular</w:t>
      </w:r>
      <w:r w:rsidR="007A0604">
        <w:rPr>
          <w:color w:val="000000" w:themeColor="text1"/>
        </w:rPr>
        <w:t>,</w:t>
      </w:r>
      <w:r w:rsidR="00FD713A" w:rsidRPr="00CF4C72">
        <w:rPr>
          <w:color w:val="000000" w:themeColor="text1"/>
        </w:rPr>
        <w:t xml:space="preserve"> with regard to the issues raised relating to the operational, administrative, legal, and governance aspects of the proposal</w:t>
      </w:r>
      <w:r w:rsidR="00035B7A">
        <w:rPr>
          <w:color w:val="000000" w:themeColor="text1"/>
        </w:rPr>
        <w:t>,</w:t>
      </w:r>
      <w:r w:rsidR="00ED4A9A" w:rsidRPr="00CF4C72">
        <w:rPr>
          <w:color w:val="000000" w:themeColor="text1"/>
        </w:rPr>
        <w:t xml:space="preserve"> </w:t>
      </w:r>
      <w:r w:rsidR="00FD713A" w:rsidRPr="00CF4C72">
        <w:rPr>
          <w:color w:val="000000" w:themeColor="text1"/>
        </w:rPr>
        <w:t xml:space="preserve">has prepared possible </w:t>
      </w:r>
      <w:r w:rsidR="00BA1633">
        <w:rPr>
          <w:color w:val="000000" w:themeColor="text1"/>
        </w:rPr>
        <w:t xml:space="preserve">revised </w:t>
      </w:r>
      <w:r w:rsidR="00FD713A" w:rsidRPr="00CF4C72">
        <w:rPr>
          <w:color w:val="000000" w:themeColor="text1"/>
        </w:rPr>
        <w:t xml:space="preserve">draft amendments to MARPOL Annex VI as set out in the annex to this document to add, </w:t>
      </w:r>
      <w:r w:rsidR="00FD713A" w:rsidRPr="00CF4C72">
        <w:rPr>
          <w:i/>
          <w:iCs/>
          <w:color w:val="000000" w:themeColor="text1"/>
        </w:rPr>
        <w:t>inter alia</w:t>
      </w:r>
      <w:r w:rsidR="00FD713A" w:rsidRPr="00CF4C72">
        <w:rPr>
          <w:color w:val="000000" w:themeColor="text1"/>
        </w:rPr>
        <w:t>, a new Chapter 7 “Global GHG Fuel Standard”.</w:t>
      </w:r>
    </w:p>
    <w:p w14:paraId="6F9C4F17" w14:textId="77777777" w:rsidR="00FD713A" w:rsidRPr="00CF4C72" w:rsidRDefault="00FD713A" w:rsidP="00FD713A">
      <w:pPr>
        <w:tabs>
          <w:tab w:val="clear" w:pos="851"/>
        </w:tabs>
        <w:rPr>
          <w:color w:val="000000" w:themeColor="text1"/>
        </w:rPr>
      </w:pPr>
    </w:p>
    <w:p w14:paraId="5A9320C3" w14:textId="336508E5" w:rsidR="00FD713A" w:rsidRPr="00CF4C72" w:rsidRDefault="00A93C51" w:rsidP="00FD713A">
      <w:pPr>
        <w:tabs>
          <w:tab w:val="clear" w:pos="851"/>
        </w:tabs>
        <w:rPr>
          <w:color w:val="000000" w:themeColor="text1"/>
        </w:rPr>
      </w:pPr>
      <w:r>
        <w:rPr>
          <w:color w:val="000000" w:themeColor="text1"/>
        </w:rPr>
        <w:t>3</w:t>
      </w:r>
      <w:r w:rsidR="00340F5D">
        <w:rPr>
          <w:color w:val="000000" w:themeColor="text1"/>
        </w:rPr>
        <w:t>5</w:t>
      </w:r>
      <w:r w:rsidR="00FD713A" w:rsidRPr="00CF4C72">
        <w:rPr>
          <w:color w:val="000000" w:themeColor="text1"/>
        </w:rPr>
        <w:tab/>
        <w:t xml:space="preserve">The possible </w:t>
      </w:r>
      <w:r w:rsidR="00BA1633">
        <w:rPr>
          <w:color w:val="000000" w:themeColor="text1"/>
        </w:rPr>
        <w:t xml:space="preserve">revised </w:t>
      </w:r>
      <w:r w:rsidR="00FD713A" w:rsidRPr="00CF4C72">
        <w:rPr>
          <w:color w:val="000000" w:themeColor="text1"/>
        </w:rPr>
        <w:t xml:space="preserve">draft amendments set out in </w:t>
      </w:r>
      <w:r w:rsidR="005F737D" w:rsidRPr="00CF4C72">
        <w:rPr>
          <w:color w:val="000000" w:themeColor="text1"/>
        </w:rPr>
        <w:t xml:space="preserve">the </w:t>
      </w:r>
      <w:r w:rsidR="00FD713A" w:rsidRPr="00CF4C72">
        <w:rPr>
          <w:color w:val="000000" w:themeColor="text1"/>
        </w:rPr>
        <w:t xml:space="preserve">annex of this document include provisions for the new Chapter 7 to MARPOL Annex VI as follows: </w:t>
      </w:r>
    </w:p>
    <w:p w14:paraId="595CB8F9" w14:textId="77777777" w:rsidR="00FD713A" w:rsidRPr="00CF4C72" w:rsidRDefault="00FD713A" w:rsidP="00FD713A">
      <w:pPr>
        <w:tabs>
          <w:tab w:val="clear" w:pos="851"/>
        </w:tabs>
        <w:rPr>
          <w:color w:val="000000" w:themeColor="text1"/>
        </w:rPr>
      </w:pPr>
      <w:r w:rsidRPr="00CF4C72">
        <w:rPr>
          <w:color w:val="000000" w:themeColor="text1"/>
        </w:rPr>
        <w:tab/>
      </w:r>
    </w:p>
    <w:p w14:paraId="55310405" w14:textId="77777777" w:rsidR="00FD713A" w:rsidRPr="00CF4C72" w:rsidRDefault="00FD713A" w:rsidP="00FD713A">
      <w:pPr>
        <w:tabs>
          <w:tab w:val="clear" w:pos="851"/>
        </w:tabs>
        <w:rPr>
          <w:color w:val="000000" w:themeColor="text1"/>
        </w:rPr>
      </w:pPr>
      <w:r w:rsidRPr="00CF4C72">
        <w:rPr>
          <w:color w:val="000000" w:themeColor="text1"/>
        </w:rPr>
        <w:tab/>
        <w:t>.1</w:t>
      </w:r>
      <w:r w:rsidRPr="00CF4C72">
        <w:rPr>
          <w:color w:val="000000" w:themeColor="text1"/>
        </w:rPr>
        <w:tab/>
        <w:t>regulation 39 - Application;</w:t>
      </w:r>
    </w:p>
    <w:p w14:paraId="54740C4E" w14:textId="77777777" w:rsidR="00FD713A" w:rsidRPr="00CF4C72" w:rsidRDefault="00FD713A" w:rsidP="00FD713A">
      <w:pPr>
        <w:tabs>
          <w:tab w:val="clear" w:pos="851"/>
        </w:tabs>
        <w:ind w:left="1700" w:hanging="849"/>
        <w:rPr>
          <w:color w:val="000000" w:themeColor="text1"/>
        </w:rPr>
      </w:pPr>
    </w:p>
    <w:p w14:paraId="0308FA09" w14:textId="77777777" w:rsidR="00FD713A" w:rsidRPr="00CF4C72" w:rsidRDefault="00FD713A" w:rsidP="00FD713A">
      <w:pPr>
        <w:tabs>
          <w:tab w:val="clear" w:pos="851"/>
        </w:tabs>
        <w:ind w:left="1700" w:hanging="849"/>
        <w:rPr>
          <w:color w:val="000000" w:themeColor="text1"/>
        </w:rPr>
      </w:pPr>
      <w:r w:rsidRPr="00CF4C72">
        <w:rPr>
          <w:color w:val="000000" w:themeColor="text1"/>
        </w:rPr>
        <w:t>.2</w:t>
      </w:r>
      <w:r w:rsidRPr="00CF4C72">
        <w:rPr>
          <w:color w:val="000000" w:themeColor="text1"/>
        </w:rPr>
        <w:tab/>
        <w:t>regulation 40 - GHG Fuel Intensity;</w:t>
      </w:r>
    </w:p>
    <w:p w14:paraId="0A6CDBC0" w14:textId="77777777" w:rsidR="00FD713A" w:rsidRPr="00CF4C72" w:rsidRDefault="00FD713A" w:rsidP="00FD713A">
      <w:pPr>
        <w:tabs>
          <w:tab w:val="clear" w:pos="851"/>
        </w:tabs>
        <w:rPr>
          <w:color w:val="000000" w:themeColor="text1"/>
        </w:rPr>
      </w:pPr>
      <w:r w:rsidRPr="00CF4C72">
        <w:rPr>
          <w:color w:val="000000" w:themeColor="text1"/>
        </w:rPr>
        <w:tab/>
      </w:r>
    </w:p>
    <w:p w14:paraId="4768E14B" w14:textId="779E3355" w:rsidR="007B3658" w:rsidRDefault="00FD713A" w:rsidP="00FD713A">
      <w:pPr>
        <w:tabs>
          <w:tab w:val="clear" w:pos="851"/>
        </w:tabs>
        <w:ind w:firstLine="851"/>
        <w:rPr>
          <w:color w:val="000000" w:themeColor="text1"/>
        </w:rPr>
      </w:pPr>
      <w:r w:rsidRPr="00CF4C72">
        <w:rPr>
          <w:color w:val="000000" w:themeColor="text1"/>
        </w:rPr>
        <w:lastRenderedPageBreak/>
        <w:t>.3</w:t>
      </w:r>
      <w:r w:rsidRPr="00CF4C72">
        <w:rPr>
          <w:color w:val="000000" w:themeColor="text1"/>
        </w:rPr>
        <w:tab/>
        <w:t xml:space="preserve">regulation 41 </w:t>
      </w:r>
      <w:r w:rsidR="007B3658">
        <w:rPr>
          <w:color w:val="000000" w:themeColor="text1"/>
        </w:rPr>
        <w:t>- Energy pooling compliance mechanism; and</w:t>
      </w:r>
    </w:p>
    <w:p w14:paraId="62405DBA" w14:textId="77777777" w:rsidR="007B3658" w:rsidRDefault="007B3658" w:rsidP="00FD713A">
      <w:pPr>
        <w:tabs>
          <w:tab w:val="clear" w:pos="851"/>
        </w:tabs>
        <w:ind w:firstLine="851"/>
        <w:rPr>
          <w:color w:val="000000" w:themeColor="text1"/>
        </w:rPr>
      </w:pPr>
    </w:p>
    <w:p w14:paraId="0D371C3D" w14:textId="41A1A9FE" w:rsidR="00FD713A" w:rsidRPr="00CF4C72" w:rsidRDefault="007B3658" w:rsidP="00FD713A">
      <w:pPr>
        <w:tabs>
          <w:tab w:val="clear" w:pos="851"/>
        </w:tabs>
        <w:ind w:firstLine="851"/>
        <w:rPr>
          <w:color w:val="000000" w:themeColor="text1"/>
        </w:rPr>
      </w:pPr>
      <w:r>
        <w:rPr>
          <w:color w:val="000000" w:themeColor="text1"/>
        </w:rPr>
        <w:t>.4</w:t>
      </w:r>
      <w:r>
        <w:rPr>
          <w:color w:val="000000" w:themeColor="text1"/>
        </w:rPr>
        <w:tab/>
        <w:t xml:space="preserve">regulation 42 </w:t>
      </w:r>
      <w:r w:rsidR="00FD713A" w:rsidRPr="00CF4C72">
        <w:rPr>
          <w:color w:val="000000" w:themeColor="text1"/>
        </w:rPr>
        <w:t>- Review of this chapter.</w:t>
      </w:r>
    </w:p>
    <w:p w14:paraId="1642FF35" w14:textId="77777777" w:rsidR="00FD713A" w:rsidRPr="00CF4C72" w:rsidRDefault="00FD713A" w:rsidP="00FD713A">
      <w:pPr>
        <w:tabs>
          <w:tab w:val="clear" w:pos="851"/>
        </w:tabs>
        <w:rPr>
          <w:color w:val="000000" w:themeColor="text1"/>
        </w:rPr>
      </w:pPr>
    </w:p>
    <w:p w14:paraId="23456189" w14:textId="4310B9EF" w:rsidR="00FD713A" w:rsidRPr="00CF4C72" w:rsidRDefault="001835B1" w:rsidP="00FD713A">
      <w:pPr>
        <w:tabs>
          <w:tab w:val="clear" w:pos="851"/>
        </w:tabs>
        <w:rPr>
          <w:color w:val="000000" w:themeColor="text1"/>
        </w:rPr>
      </w:pPr>
      <w:r>
        <w:rPr>
          <w:color w:val="000000" w:themeColor="text1"/>
        </w:rPr>
        <w:t>3</w:t>
      </w:r>
      <w:r w:rsidR="00340F5D">
        <w:rPr>
          <w:color w:val="000000" w:themeColor="text1"/>
        </w:rPr>
        <w:t>6</w:t>
      </w:r>
      <w:r w:rsidR="00FD713A" w:rsidRPr="00CF4C72">
        <w:rPr>
          <w:color w:val="000000" w:themeColor="text1"/>
        </w:rPr>
        <w:tab/>
        <w:t xml:space="preserve">In addition to the possible </w:t>
      </w:r>
      <w:r w:rsidR="00CA06DA">
        <w:rPr>
          <w:color w:val="000000" w:themeColor="text1"/>
        </w:rPr>
        <w:t xml:space="preserve">revised </w:t>
      </w:r>
      <w:r w:rsidR="00FD713A" w:rsidRPr="00CF4C72">
        <w:rPr>
          <w:color w:val="000000" w:themeColor="text1"/>
        </w:rPr>
        <w:t xml:space="preserve">draft amendments set out in </w:t>
      </w:r>
      <w:r w:rsidR="00D1369C">
        <w:rPr>
          <w:color w:val="000000" w:themeColor="text1"/>
        </w:rPr>
        <w:t xml:space="preserve">the annex to </w:t>
      </w:r>
      <w:r w:rsidR="00FD713A" w:rsidRPr="00CF4C72">
        <w:rPr>
          <w:color w:val="000000" w:themeColor="text1"/>
        </w:rPr>
        <w:t>this document, consequential draft amendments to the regulations of MARPOL Annex VI are envisaged to address, inter alia, port State control of these new operational requirements.</w:t>
      </w:r>
    </w:p>
    <w:p w14:paraId="37BB8A14" w14:textId="77777777" w:rsidR="00FD713A" w:rsidRPr="00CF4C72" w:rsidRDefault="00FD713A" w:rsidP="00FD713A">
      <w:pPr>
        <w:tabs>
          <w:tab w:val="clear" w:pos="851"/>
        </w:tabs>
        <w:rPr>
          <w:color w:val="000000" w:themeColor="text1"/>
          <w:highlight w:val="yellow"/>
        </w:rPr>
      </w:pPr>
    </w:p>
    <w:p w14:paraId="30ACFBC8" w14:textId="77777777" w:rsidR="00FD713A" w:rsidRPr="00CF4C72" w:rsidRDefault="00FD713A" w:rsidP="00FD713A">
      <w:pPr>
        <w:keepNext/>
        <w:keepLines/>
        <w:tabs>
          <w:tab w:val="clear" w:pos="851"/>
        </w:tabs>
        <w:rPr>
          <w:b/>
          <w:color w:val="000000" w:themeColor="text1"/>
        </w:rPr>
      </w:pPr>
      <w:r w:rsidRPr="00CF4C72">
        <w:rPr>
          <w:b/>
          <w:color w:val="000000" w:themeColor="text1"/>
        </w:rPr>
        <w:t>ACTION REQUESTED OF THE GROUP</w:t>
      </w:r>
    </w:p>
    <w:p w14:paraId="7743EB50" w14:textId="77777777" w:rsidR="00FD713A" w:rsidRPr="00CF4C72" w:rsidRDefault="00FD713A" w:rsidP="00FD713A">
      <w:pPr>
        <w:keepNext/>
        <w:keepLines/>
        <w:tabs>
          <w:tab w:val="clear" w:pos="851"/>
        </w:tabs>
        <w:rPr>
          <w:color w:val="000000" w:themeColor="text1"/>
        </w:rPr>
      </w:pPr>
    </w:p>
    <w:p w14:paraId="41964C3E" w14:textId="15728A3B" w:rsidR="00A939BC" w:rsidRDefault="001835B1" w:rsidP="00675BC5">
      <w:pPr>
        <w:keepNext/>
        <w:keepLines/>
        <w:tabs>
          <w:tab w:val="clear" w:pos="851"/>
        </w:tabs>
        <w:rPr>
          <w:color w:val="000000" w:themeColor="text1"/>
        </w:rPr>
      </w:pPr>
      <w:r>
        <w:rPr>
          <w:color w:val="000000" w:themeColor="text1"/>
        </w:rPr>
        <w:t>3</w:t>
      </w:r>
      <w:r w:rsidR="00340F5D">
        <w:rPr>
          <w:color w:val="000000" w:themeColor="text1"/>
        </w:rPr>
        <w:t>7</w:t>
      </w:r>
      <w:r w:rsidR="00FD713A" w:rsidRPr="00CF4C72">
        <w:rPr>
          <w:color w:val="000000" w:themeColor="text1"/>
        </w:rPr>
        <w:tab/>
        <w:t xml:space="preserve">The Group is </w:t>
      </w:r>
      <w:r w:rsidR="009A65B2" w:rsidRPr="00CF4C72">
        <w:rPr>
          <w:color w:val="000000" w:themeColor="text1"/>
        </w:rPr>
        <w:t xml:space="preserve">requested </w:t>
      </w:r>
      <w:r w:rsidR="00FD713A" w:rsidRPr="00CF4C72">
        <w:rPr>
          <w:color w:val="000000" w:themeColor="text1"/>
        </w:rPr>
        <w:t>to</w:t>
      </w:r>
      <w:r w:rsidR="006C2470">
        <w:rPr>
          <w:color w:val="000000" w:themeColor="text1"/>
        </w:rPr>
        <w:t xml:space="preserve"> consider</w:t>
      </w:r>
      <w:r w:rsidR="00FD713A" w:rsidRPr="00CF4C72">
        <w:rPr>
          <w:color w:val="000000" w:themeColor="text1"/>
        </w:rPr>
        <w:t xml:space="preserve"> the </w:t>
      </w:r>
      <w:r w:rsidR="00CA06DA">
        <w:rPr>
          <w:color w:val="000000" w:themeColor="text1"/>
        </w:rPr>
        <w:t xml:space="preserve">revised </w:t>
      </w:r>
      <w:r w:rsidR="00CA06DA" w:rsidRPr="00CF4C72">
        <w:rPr>
          <w:color w:val="000000" w:themeColor="text1"/>
        </w:rPr>
        <w:t>simpl</w:t>
      </w:r>
      <w:r w:rsidR="00CA06DA">
        <w:rPr>
          <w:color w:val="000000" w:themeColor="text1"/>
        </w:rPr>
        <w:t>ified</w:t>
      </w:r>
      <w:r w:rsidR="00CA06DA" w:rsidRPr="00CF4C72">
        <w:rPr>
          <w:color w:val="000000" w:themeColor="text1"/>
        </w:rPr>
        <w:t xml:space="preserve"> </w:t>
      </w:r>
      <w:r w:rsidR="00FD713A" w:rsidRPr="00CF4C72">
        <w:rPr>
          <w:color w:val="000000" w:themeColor="text1"/>
        </w:rPr>
        <w:t xml:space="preserve">version of the GFS suggested by </w:t>
      </w:r>
      <w:r w:rsidR="00EF557A">
        <w:rPr>
          <w:color w:val="000000" w:themeColor="text1"/>
        </w:rPr>
        <w:t>the co-sponsors</w:t>
      </w:r>
      <w:r w:rsidR="00A93C51">
        <w:rPr>
          <w:color w:val="000000" w:themeColor="text1"/>
        </w:rPr>
        <w:t xml:space="preserve">, including </w:t>
      </w:r>
      <w:r w:rsidR="00B57B0F">
        <w:rPr>
          <w:color w:val="000000" w:themeColor="text1"/>
        </w:rPr>
        <w:t xml:space="preserve">suggested </w:t>
      </w:r>
      <w:r w:rsidR="00A93C51">
        <w:rPr>
          <w:color w:val="000000" w:themeColor="text1"/>
        </w:rPr>
        <w:t xml:space="preserve">provisions for </w:t>
      </w:r>
      <w:r w:rsidR="006C2470">
        <w:rPr>
          <w:color w:val="000000" w:themeColor="text1"/>
        </w:rPr>
        <w:t xml:space="preserve">an </w:t>
      </w:r>
      <w:r w:rsidR="006C2470">
        <w:rPr>
          <w:b/>
          <w:bCs/>
          <w:color w:val="000000" w:themeColor="text1"/>
        </w:rPr>
        <w:t>“</w:t>
      </w:r>
      <w:r w:rsidR="006C2470">
        <w:rPr>
          <w:color w:val="000000" w:themeColor="text1"/>
        </w:rPr>
        <w:t>e</w:t>
      </w:r>
      <w:r w:rsidR="006C2470" w:rsidRPr="00675BC5">
        <w:rPr>
          <w:color w:val="000000" w:themeColor="text1"/>
        </w:rPr>
        <w:t>nergy pooling compliance mechanism</w:t>
      </w:r>
      <w:r w:rsidR="006C2470" w:rsidRPr="005D687E">
        <w:rPr>
          <w:b/>
          <w:bCs/>
          <w:color w:val="000000" w:themeColor="text1"/>
        </w:rPr>
        <w:t>”</w:t>
      </w:r>
      <w:r w:rsidR="00125302">
        <w:rPr>
          <w:b/>
          <w:bCs/>
          <w:color w:val="000000" w:themeColor="text1"/>
        </w:rPr>
        <w:t>,</w:t>
      </w:r>
      <w:r w:rsidR="006C2470">
        <w:rPr>
          <w:b/>
          <w:bCs/>
          <w:color w:val="000000" w:themeColor="text1"/>
        </w:rPr>
        <w:t xml:space="preserve"> </w:t>
      </w:r>
      <w:r w:rsidR="00BA1633">
        <w:rPr>
          <w:color w:val="000000" w:themeColor="text1"/>
        </w:rPr>
        <w:t>and th</w:t>
      </w:r>
      <w:r w:rsidR="00701668">
        <w:rPr>
          <w:color w:val="000000" w:themeColor="text1"/>
        </w:rPr>
        <w:t>e</w:t>
      </w:r>
      <w:r w:rsidR="00125302">
        <w:rPr>
          <w:color w:val="000000" w:themeColor="text1"/>
        </w:rPr>
        <w:t xml:space="preserve"> </w:t>
      </w:r>
      <w:r w:rsidR="00701668">
        <w:rPr>
          <w:color w:val="000000" w:themeColor="text1"/>
        </w:rPr>
        <w:t xml:space="preserve">possible </w:t>
      </w:r>
      <w:r w:rsidR="00CA06DA">
        <w:rPr>
          <w:color w:val="000000" w:themeColor="text1"/>
        </w:rPr>
        <w:t>revised</w:t>
      </w:r>
      <w:r w:rsidR="006C2470">
        <w:rPr>
          <w:color w:val="000000" w:themeColor="text1"/>
        </w:rPr>
        <w:t xml:space="preserve"> </w:t>
      </w:r>
      <w:r w:rsidR="00CA06DA">
        <w:rPr>
          <w:color w:val="000000" w:themeColor="text1"/>
        </w:rPr>
        <w:t>draft amendments to MARPOL Annex VI</w:t>
      </w:r>
      <w:r w:rsidR="00A94667">
        <w:rPr>
          <w:color w:val="000000" w:themeColor="text1"/>
        </w:rPr>
        <w:t>,</w:t>
      </w:r>
      <w:r w:rsidR="00CA06DA">
        <w:rPr>
          <w:color w:val="000000" w:themeColor="text1"/>
        </w:rPr>
        <w:t xml:space="preserve"> </w:t>
      </w:r>
      <w:r w:rsidR="00A94667">
        <w:rPr>
          <w:color w:val="000000" w:themeColor="text1"/>
        </w:rPr>
        <w:t xml:space="preserve">as </w:t>
      </w:r>
      <w:r w:rsidR="00CA06DA">
        <w:rPr>
          <w:color w:val="000000" w:themeColor="text1"/>
        </w:rPr>
        <w:t xml:space="preserve">set out in </w:t>
      </w:r>
      <w:r w:rsidR="00920ADC">
        <w:rPr>
          <w:color w:val="000000" w:themeColor="text1"/>
        </w:rPr>
        <w:t xml:space="preserve">the </w:t>
      </w:r>
      <w:r w:rsidR="00CA06DA">
        <w:rPr>
          <w:color w:val="000000" w:themeColor="text1"/>
        </w:rPr>
        <w:t>annex to this document</w:t>
      </w:r>
      <w:r w:rsidR="006F7402">
        <w:rPr>
          <w:color w:val="000000" w:themeColor="text1"/>
        </w:rPr>
        <w:t xml:space="preserve">, and recommend this approach for finalizing the technical element of the </w:t>
      </w:r>
      <w:r w:rsidR="00C7455F">
        <w:rPr>
          <w:color w:val="000000" w:themeColor="text1"/>
        </w:rPr>
        <w:t xml:space="preserve">basket of </w:t>
      </w:r>
      <w:r w:rsidR="006F7402">
        <w:rPr>
          <w:color w:val="000000" w:themeColor="text1"/>
        </w:rPr>
        <w:t xml:space="preserve">mid-term measure(s) for delivering on the </w:t>
      </w:r>
      <w:r w:rsidR="00FC60AF">
        <w:rPr>
          <w:color w:val="000000" w:themeColor="text1"/>
        </w:rPr>
        <w:t xml:space="preserve">levels of ambition agreed </w:t>
      </w:r>
      <w:r w:rsidR="00C155AB">
        <w:rPr>
          <w:color w:val="000000" w:themeColor="text1"/>
        </w:rPr>
        <w:t>within the 2023 GHG Strategy.</w:t>
      </w:r>
    </w:p>
    <w:p w14:paraId="70636A87" w14:textId="77777777" w:rsidR="00CE3409" w:rsidRPr="00CF4C72" w:rsidRDefault="00CE3409" w:rsidP="00125302">
      <w:pPr>
        <w:tabs>
          <w:tab w:val="clear" w:pos="851"/>
        </w:tabs>
        <w:rPr>
          <w:strike/>
          <w:color w:val="000000" w:themeColor="text1"/>
        </w:rPr>
      </w:pPr>
    </w:p>
    <w:p w14:paraId="2B737829" w14:textId="49FB97D3" w:rsidR="00342D6D" w:rsidRPr="00CF4C72" w:rsidRDefault="00342D6D" w:rsidP="00215E65">
      <w:pPr>
        <w:tabs>
          <w:tab w:val="clear" w:pos="851"/>
        </w:tabs>
        <w:jc w:val="center"/>
        <w:rPr>
          <w:color w:val="000000" w:themeColor="text1"/>
        </w:rPr>
      </w:pPr>
      <w:r w:rsidRPr="00CF4C72">
        <w:rPr>
          <w:color w:val="000000" w:themeColor="text1"/>
        </w:rPr>
        <w:t>***</w:t>
      </w:r>
    </w:p>
    <w:p w14:paraId="0F3A9492" w14:textId="77777777" w:rsidR="00342D6D" w:rsidRPr="00CF4C72" w:rsidRDefault="00342D6D" w:rsidP="00CF2460">
      <w:pPr>
        <w:tabs>
          <w:tab w:val="clear" w:pos="851"/>
        </w:tabs>
        <w:rPr>
          <w:color w:val="000000" w:themeColor="text1"/>
        </w:rPr>
        <w:sectPr w:rsidR="00342D6D" w:rsidRPr="00CF4C72" w:rsidSect="00257B9B">
          <w:headerReference w:type="even" r:id="rId12"/>
          <w:headerReference w:type="default" r:id="rId13"/>
          <w:footerReference w:type="even" r:id="rId14"/>
          <w:footerReference w:type="default" r:id="rId15"/>
          <w:footerReference w:type="first" r:id="rId16"/>
          <w:pgSz w:w="11906" w:h="16838" w:code="9"/>
          <w:pgMar w:top="1134" w:right="1418" w:bottom="1418" w:left="1418" w:header="851" w:footer="851" w:gutter="0"/>
          <w:pgNumType w:start="1"/>
          <w:cols w:space="720"/>
          <w:titlePg/>
          <w:docGrid w:linePitch="326"/>
        </w:sectPr>
      </w:pPr>
    </w:p>
    <w:p w14:paraId="009E681A" w14:textId="68DA01D1" w:rsidR="00D91A81" w:rsidRPr="00CF4C72" w:rsidRDefault="00D91A81" w:rsidP="00CF2460">
      <w:pPr>
        <w:rPr>
          <w:rFonts w:cs="Arial"/>
          <w:b/>
          <w:bCs/>
          <w:color w:val="000000" w:themeColor="text1"/>
          <w:szCs w:val="22"/>
        </w:rPr>
        <w:sectPr w:rsidR="00D91A81" w:rsidRPr="00CF4C72" w:rsidSect="009F46F2">
          <w:headerReference w:type="even" r:id="rId17"/>
          <w:headerReference w:type="default" r:id="rId18"/>
          <w:footerReference w:type="even" r:id="rId19"/>
          <w:footerReference w:type="default" r:id="rId20"/>
          <w:footnotePr>
            <w:numRestart w:val="eachSect"/>
          </w:footnotePr>
          <w:type w:val="continuous"/>
          <w:pgSz w:w="11906" w:h="16838"/>
          <w:pgMar w:top="1440" w:right="1440" w:bottom="1440" w:left="1440" w:header="708" w:footer="708" w:gutter="0"/>
          <w:cols w:space="708"/>
          <w:docGrid w:linePitch="360"/>
        </w:sectPr>
      </w:pPr>
    </w:p>
    <w:p w14:paraId="3D2E3514" w14:textId="77777777" w:rsidR="000A3ED8" w:rsidRPr="00CF4C72" w:rsidRDefault="000A3ED8" w:rsidP="00A939BC">
      <w:pPr>
        <w:rPr>
          <w:rFonts w:cs="Arial"/>
          <w:b/>
          <w:bCs/>
          <w:color w:val="000000" w:themeColor="text1"/>
          <w:szCs w:val="22"/>
        </w:rPr>
        <w:sectPr w:rsidR="000A3ED8" w:rsidRPr="00CF4C72" w:rsidSect="00341CE0">
          <w:headerReference w:type="default" r:id="rId21"/>
          <w:footnotePr>
            <w:numRestart w:val="eachSect"/>
          </w:footnotePr>
          <w:type w:val="continuous"/>
          <w:pgSz w:w="11906" w:h="16838"/>
          <w:pgMar w:top="1440" w:right="1440" w:bottom="1440" w:left="1440" w:header="709" w:footer="709" w:gutter="0"/>
          <w:pgNumType w:start="1"/>
          <w:cols w:space="708"/>
          <w:docGrid w:linePitch="360"/>
        </w:sectPr>
      </w:pPr>
    </w:p>
    <w:p w14:paraId="4FDABDD4" w14:textId="77777777" w:rsidR="00CD7583" w:rsidRPr="00CF4C72" w:rsidRDefault="00CD7583" w:rsidP="00CD7583">
      <w:pPr>
        <w:jc w:val="center"/>
        <w:rPr>
          <w:rFonts w:cs="Arial"/>
          <w:b/>
          <w:bCs/>
          <w:color w:val="000000" w:themeColor="text1"/>
          <w:szCs w:val="22"/>
        </w:rPr>
      </w:pPr>
      <w:r w:rsidRPr="00CF4C72">
        <w:rPr>
          <w:rFonts w:cs="Arial"/>
          <w:b/>
          <w:bCs/>
          <w:color w:val="000000" w:themeColor="text1"/>
          <w:szCs w:val="22"/>
        </w:rPr>
        <w:lastRenderedPageBreak/>
        <w:t>ANNEX</w:t>
      </w:r>
    </w:p>
    <w:p w14:paraId="44B2BF7C" w14:textId="77777777" w:rsidR="00E5193E" w:rsidRPr="00CF4C72" w:rsidRDefault="00E5193E" w:rsidP="00E5193E">
      <w:pPr>
        <w:rPr>
          <w:rFonts w:cs="Arial"/>
          <w:b/>
          <w:bCs/>
          <w:color w:val="000000" w:themeColor="text1"/>
          <w:szCs w:val="22"/>
        </w:rPr>
      </w:pPr>
    </w:p>
    <w:p w14:paraId="1868D7F6" w14:textId="77777777" w:rsidR="00E5193E" w:rsidRPr="00CF4C72" w:rsidRDefault="00E5193E" w:rsidP="00E5193E">
      <w:pPr>
        <w:jc w:val="center"/>
        <w:rPr>
          <w:rFonts w:cs="Arial"/>
          <w:b/>
          <w:bCs/>
          <w:caps/>
          <w:color w:val="000000" w:themeColor="text1"/>
          <w:szCs w:val="22"/>
        </w:rPr>
      </w:pPr>
      <w:r w:rsidRPr="00CF4C72">
        <w:rPr>
          <w:rFonts w:cs="Arial"/>
          <w:b/>
          <w:bCs/>
          <w:caps/>
          <w:color w:val="000000" w:themeColor="text1"/>
          <w:szCs w:val="22"/>
        </w:rPr>
        <w:t xml:space="preserve">POSSIBLE </w:t>
      </w:r>
      <w:r>
        <w:rPr>
          <w:rFonts w:cs="Arial"/>
          <w:b/>
          <w:bCs/>
          <w:caps/>
          <w:color w:val="000000" w:themeColor="text1"/>
          <w:szCs w:val="22"/>
        </w:rPr>
        <w:t xml:space="preserve">REVISED </w:t>
      </w:r>
      <w:r w:rsidRPr="00CF4C72">
        <w:rPr>
          <w:rFonts w:cs="Arial"/>
          <w:b/>
          <w:bCs/>
          <w:caps/>
          <w:color w:val="000000" w:themeColor="text1"/>
          <w:szCs w:val="22"/>
        </w:rPr>
        <w:t>Draft Amendments to MARPOL Annex VI</w:t>
      </w:r>
    </w:p>
    <w:p w14:paraId="0931A421" w14:textId="77777777" w:rsidR="00E5193E" w:rsidRPr="00CF4C72" w:rsidRDefault="00E5193E" w:rsidP="00E5193E">
      <w:pPr>
        <w:jc w:val="center"/>
        <w:rPr>
          <w:rFonts w:cs="Arial"/>
          <w:b/>
          <w:bCs/>
          <w:color w:val="000000" w:themeColor="text1"/>
          <w:szCs w:val="22"/>
        </w:rPr>
      </w:pPr>
      <w:r w:rsidRPr="00CF4C72">
        <w:rPr>
          <w:rFonts w:cs="Arial"/>
          <w:b/>
          <w:bCs/>
          <w:color w:val="000000" w:themeColor="text1"/>
          <w:szCs w:val="22"/>
        </w:rPr>
        <w:t>(Global GHG Fuel Standard)</w:t>
      </w:r>
    </w:p>
    <w:p w14:paraId="50723C76" w14:textId="77777777" w:rsidR="00E5193E" w:rsidRPr="00CF4C72" w:rsidRDefault="00E5193E" w:rsidP="00E5193E">
      <w:pPr>
        <w:rPr>
          <w:rFonts w:cs="Arial"/>
          <w:color w:val="000000" w:themeColor="text1"/>
          <w:szCs w:val="22"/>
        </w:rPr>
      </w:pPr>
    </w:p>
    <w:p w14:paraId="498656BB" w14:textId="77777777" w:rsidR="00E5193E" w:rsidRPr="00CF4C72" w:rsidRDefault="00E5193E" w:rsidP="00E5193E">
      <w:pPr>
        <w:rPr>
          <w:rFonts w:cs="Arial"/>
          <w:color w:val="000000" w:themeColor="text1"/>
          <w:szCs w:val="22"/>
        </w:rPr>
      </w:pPr>
      <w:r w:rsidRPr="00CF4C72">
        <w:rPr>
          <w:rFonts w:cs="Arial"/>
          <w:color w:val="000000" w:themeColor="text1"/>
          <w:szCs w:val="22"/>
        </w:rPr>
        <w:t xml:space="preserve">(N.B. Draft regulation numbers follow those in draft </w:t>
      </w:r>
      <w:r w:rsidRPr="00CF4C72">
        <w:rPr>
          <w:color w:val="000000" w:themeColor="text1"/>
        </w:rPr>
        <w:t xml:space="preserve">Chapter 6 – International Maritime Sustainability Funding and Reward Mechanism, as </w:t>
      </w:r>
      <w:r w:rsidRPr="00CF4C72">
        <w:rPr>
          <w:rFonts w:cs="Arial"/>
          <w:color w:val="000000" w:themeColor="text1"/>
          <w:szCs w:val="22"/>
        </w:rPr>
        <w:t>set out in document ISWG-GHG 14/3 (ICS))</w:t>
      </w:r>
    </w:p>
    <w:p w14:paraId="41BA11EF" w14:textId="77777777" w:rsidR="00E5193E" w:rsidRPr="00CF4C72" w:rsidRDefault="00E5193E" w:rsidP="00E5193E">
      <w:pPr>
        <w:rPr>
          <w:rFonts w:cs="Arial"/>
          <w:color w:val="000000" w:themeColor="text1"/>
          <w:szCs w:val="22"/>
        </w:rPr>
      </w:pPr>
    </w:p>
    <w:p w14:paraId="1A4EDB0A" w14:textId="77777777" w:rsidR="00E5193E" w:rsidRPr="00CF4C72" w:rsidRDefault="00E5193E" w:rsidP="00E5193E">
      <w:pPr>
        <w:rPr>
          <w:rFonts w:cs="Arial"/>
          <w:color w:val="000000" w:themeColor="text1"/>
          <w:szCs w:val="22"/>
        </w:rPr>
      </w:pPr>
      <w:r w:rsidRPr="00CF4C72">
        <w:rPr>
          <w:rFonts w:cs="Arial"/>
          <w:color w:val="000000" w:themeColor="text1"/>
          <w:szCs w:val="22"/>
        </w:rPr>
        <w:t>A new chapter 7 is added as follows:</w:t>
      </w:r>
    </w:p>
    <w:p w14:paraId="5E35C09C" w14:textId="77777777" w:rsidR="00E5193E" w:rsidRPr="00CF4C72" w:rsidRDefault="00E5193E" w:rsidP="00E5193E">
      <w:pPr>
        <w:rPr>
          <w:rFonts w:cs="Arial"/>
          <w:color w:val="000000" w:themeColor="text1"/>
          <w:szCs w:val="22"/>
        </w:rPr>
      </w:pPr>
    </w:p>
    <w:p w14:paraId="4F2B006E" w14:textId="77777777" w:rsidR="00E5193E" w:rsidRPr="00CF4C72" w:rsidRDefault="00E5193E" w:rsidP="00E5193E">
      <w:pPr>
        <w:rPr>
          <w:rFonts w:cs="Arial"/>
          <w:b/>
          <w:bCs/>
          <w:color w:val="000000" w:themeColor="text1"/>
          <w:szCs w:val="22"/>
        </w:rPr>
      </w:pPr>
      <w:r w:rsidRPr="00CF4C72">
        <w:rPr>
          <w:rFonts w:cs="Arial"/>
          <w:b/>
          <w:bCs/>
          <w:color w:val="000000" w:themeColor="text1"/>
          <w:szCs w:val="22"/>
        </w:rPr>
        <w:t>Chapter 7 – Global GHG Fuel Standard</w:t>
      </w:r>
    </w:p>
    <w:p w14:paraId="3FBC5B0C" w14:textId="77777777" w:rsidR="00E5193E" w:rsidRPr="00CF4C72" w:rsidRDefault="00E5193E" w:rsidP="00E5193E">
      <w:pPr>
        <w:rPr>
          <w:rFonts w:cs="Arial"/>
          <w:color w:val="000000" w:themeColor="text1"/>
          <w:szCs w:val="22"/>
        </w:rPr>
      </w:pPr>
    </w:p>
    <w:p w14:paraId="37FDA218" w14:textId="77777777" w:rsidR="00E5193E" w:rsidRPr="00CF4C72" w:rsidRDefault="00E5193E" w:rsidP="00E5193E">
      <w:pPr>
        <w:rPr>
          <w:rFonts w:cs="Arial"/>
          <w:b/>
          <w:bCs/>
          <w:color w:val="000000" w:themeColor="text1"/>
          <w:szCs w:val="22"/>
        </w:rPr>
      </w:pPr>
      <w:r w:rsidRPr="00CF4C72">
        <w:rPr>
          <w:rFonts w:cs="Arial"/>
          <w:b/>
          <w:bCs/>
          <w:color w:val="000000" w:themeColor="text1"/>
          <w:szCs w:val="22"/>
        </w:rPr>
        <w:t>Regulation 39</w:t>
      </w:r>
    </w:p>
    <w:p w14:paraId="1840382E" w14:textId="77777777" w:rsidR="00E5193E" w:rsidRPr="00CF4C72" w:rsidRDefault="00E5193E" w:rsidP="00E5193E">
      <w:pPr>
        <w:rPr>
          <w:rFonts w:cs="Arial"/>
          <w:i/>
          <w:iCs/>
          <w:color w:val="000000" w:themeColor="text1"/>
          <w:szCs w:val="22"/>
        </w:rPr>
      </w:pPr>
      <w:r w:rsidRPr="00CF4C72">
        <w:rPr>
          <w:rFonts w:cs="Arial"/>
          <w:i/>
          <w:iCs/>
          <w:color w:val="000000" w:themeColor="text1"/>
          <w:szCs w:val="22"/>
        </w:rPr>
        <w:t xml:space="preserve">Application </w:t>
      </w:r>
    </w:p>
    <w:p w14:paraId="72B7FECC" w14:textId="77777777" w:rsidR="00E5193E" w:rsidRPr="00CF4C72" w:rsidRDefault="00E5193E" w:rsidP="00E5193E">
      <w:pPr>
        <w:rPr>
          <w:rFonts w:cs="Arial"/>
          <w:color w:val="000000" w:themeColor="text1"/>
          <w:szCs w:val="22"/>
        </w:rPr>
      </w:pPr>
    </w:p>
    <w:p w14:paraId="17B6B9E5" w14:textId="77777777" w:rsidR="00E5193E" w:rsidRPr="00CF4C72" w:rsidRDefault="00E5193E" w:rsidP="00E5193E">
      <w:pPr>
        <w:rPr>
          <w:rFonts w:cs="Arial"/>
          <w:color w:val="000000" w:themeColor="text1"/>
          <w:szCs w:val="22"/>
        </w:rPr>
      </w:pPr>
      <w:r w:rsidRPr="00CF4C72">
        <w:rPr>
          <w:rFonts w:cs="Arial"/>
          <w:color w:val="000000" w:themeColor="text1"/>
          <w:szCs w:val="22"/>
        </w:rPr>
        <w:t>1</w:t>
      </w:r>
      <w:r w:rsidRPr="00CF4C72">
        <w:rPr>
          <w:rFonts w:cs="Arial"/>
          <w:color w:val="000000" w:themeColor="text1"/>
          <w:szCs w:val="22"/>
        </w:rPr>
        <w:tab/>
        <w:t xml:space="preserve">This chapter shall apply to ships of </w:t>
      </w:r>
      <w:r>
        <w:rPr>
          <w:rFonts w:cs="Arial"/>
          <w:color w:val="000000" w:themeColor="text1"/>
          <w:szCs w:val="22"/>
        </w:rPr>
        <w:t xml:space="preserve">[400] </w:t>
      </w:r>
      <w:r w:rsidRPr="00CF4C72">
        <w:rPr>
          <w:rFonts w:cs="Arial"/>
          <w:color w:val="000000" w:themeColor="text1"/>
          <w:szCs w:val="22"/>
        </w:rPr>
        <w:t>[5,000] gross tonnage and above which fall into one or more of the categories in regulations 2.2.5, 2.2.7, 2.2.9, 2.2.11, 2.2.14 to 2.2.16, 2.2.22, and 2.26 to 2.2.29 of this Annex.</w:t>
      </w:r>
    </w:p>
    <w:p w14:paraId="58063B50" w14:textId="77777777" w:rsidR="00E5193E" w:rsidRPr="00CF4C72" w:rsidRDefault="00E5193E" w:rsidP="00E5193E">
      <w:pPr>
        <w:rPr>
          <w:rFonts w:cs="Arial"/>
          <w:color w:val="000000" w:themeColor="text1"/>
          <w:szCs w:val="22"/>
        </w:rPr>
      </w:pPr>
    </w:p>
    <w:p w14:paraId="021E63F4" w14:textId="77777777" w:rsidR="00E5193E" w:rsidRPr="00CF4C72" w:rsidRDefault="00E5193E" w:rsidP="00E5193E">
      <w:pPr>
        <w:rPr>
          <w:rFonts w:cs="Arial"/>
          <w:color w:val="000000" w:themeColor="text1"/>
          <w:szCs w:val="22"/>
        </w:rPr>
      </w:pPr>
      <w:r w:rsidRPr="00CF4C72">
        <w:rPr>
          <w:rFonts w:cs="Arial"/>
          <w:color w:val="000000" w:themeColor="text1"/>
          <w:szCs w:val="22"/>
        </w:rPr>
        <w:t>2</w:t>
      </w:r>
      <w:r w:rsidRPr="00CF4C72">
        <w:rPr>
          <w:rFonts w:cs="Arial"/>
          <w:color w:val="000000" w:themeColor="text1"/>
          <w:szCs w:val="22"/>
        </w:rPr>
        <w:tab/>
        <w:t>The provisions of this chapter shall not apply to:</w:t>
      </w:r>
    </w:p>
    <w:p w14:paraId="62ED2CBA" w14:textId="77777777" w:rsidR="00E5193E" w:rsidRPr="00CF4C72" w:rsidRDefault="00E5193E" w:rsidP="00E5193E">
      <w:pPr>
        <w:rPr>
          <w:rFonts w:cs="Arial"/>
          <w:color w:val="000000" w:themeColor="text1"/>
          <w:szCs w:val="22"/>
        </w:rPr>
      </w:pPr>
    </w:p>
    <w:p w14:paraId="3FD9D867" w14:textId="77777777" w:rsidR="00E5193E" w:rsidRPr="00CF4C72" w:rsidRDefault="00E5193E" w:rsidP="00E5193E">
      <w:pPr>
        <w:ind w:left="1418" w:hanging="567"/>
        <w:rPr>
          <w:rFonts w:cs="Arial"/>
          <w:color w:val="000000" w:themeColor="text1"/>
          <w:szCs w:val="22"/>
        </w:rPr>
      </w:pPr>
      <w:r w:rsidRPr="00CF4C72">
        <w:rPr>
          <w:rFonts w:cs="Arial"/>
          <w:color w:val="000000" w:themeColor="text1"/>
          <w:szCs w:val="22"/>
        </w:rPr>
        <w:t>.1</w:t>
      </w:r>
      <w:r w:rsidRPr="00CF4C72">
        <w:rPr>
          <w:rFonts w:cs="Arial"/>
          <w:color w:val="000000" w:themeColor="text1"/>
          <w:szCs w:val="22"/>
        </w:rPr>
        <w:tab/>
        <w:t xml:space="preserve">ships solely engaged in voyages within waters subject to the sovereignty or jurisdiction of the State the flag of which the ship is entitled to fly; and </w:t>
      </w:r>
    </w:p>
    <w:p w14:paraId="234FC96D" w14:textId="77777777" w:rsidR="00E5193E" w:rsidRPr="00CF4C72" w:rsidRDefault="00E5193E" w:rsidP="00E5193E">
      <w:pPr>
        <w:ind w:left="1418" w:hanging="567"/>
        <w:rPr>
          <w:rFonts w:cs="Arial"/>
          <w:color w:val="000000" w:themeColor="text1"/>
          <w:szCs w:val="22"/>
        </w:rPr>
      </w:pPr>
    </w:p>
    <w:p w14:paraId="46EF248D" w14:textId="77777777" w:rsidR="00E5193E" w:rsidRPr="00CF4C72" w:rsidRDefault="00E5193E" w:rsidP="00E5193E">
      <w:pPr>
        <w:ind w:left="1418" w:hanging="567"/>
        <w:rPr>
          <w:rFonts w:cs="Arial"/>
          <w:color w:val="000000" w:themeColor="text1"/>
          <w:szCs w:val="22"/>
        </w:rPr>
      </w:pPr>
      <w:r w:rsidRPr="00CF4C72">
        <w:rPr>
          <w:rFonts w:cs="Arial"/>
          <w:color w:val="000000" w:themeColor="text1"/>
          <w:szCs w:val="22"/>
        </w:rPr>
        <w:t>.2</w:t>
      </w:r>
      <w:r w:rsidRPr="00CF4C72">
        <w:rPr>
          <w:rFonts w:cs="Arial"/>
          <w:color w:val="000000" w:themeColor="text1"/>
          <w:szCs w:val="22"/>
        </w:rPr>
        <w:tab/>
        <w:t>ships not propelled by mechanical means, and platforms including FPSOs and FSUs and drilling rigs, regardless of their propulsion.</w:t>
      </w:r>
    </w:p>
    <w:p w14:paraId="5F5A19C6" w14:textId="77777777" w:rsidR="00E5193E" w:rsidRPr="00CF4C72" w:rsidRDefault="00E5193E" w:rsidP="00E5193E">
      <w:pPr>
        <w:rPr>
          <w:rFonts w:cs="Arial"/>
          <w:color w:val="000000" w:themeColor="text1"/>
          <w:szCs w:val="22"/>
        </w:rPr>
      </w:pPr>
    </w:p>
    <w:p w14:paraId="1E9BB7FE" w14:textId="77777777" w:rsidR="00E5193E" w:rsidRPr="00CF4C72" w:rsidRDefault="00E5193E" w:rsidP="00E5193E">
      <w:pPr>
        <w:rPr>
          <w:rFonts w:cs="Arial"/>
          <w:b/>
          <w:bCs/>
          <w:color w:val="000000" w:themeColor="text1"/>
          <w:szCs w:val="22"/>
        </w:rPr>
      </w:pPr>
      <w:r w:rsidRPr="00CF4C72">
        <w:rPr>
          <w:rFonts w:cs="Arial"/>
          <w:b/>
          <w:bCs/>
          <w:color w:val="000000" w:themeColor="text1"/>
          <w:szCs w:val="22"/>
        </w:rPr>
        <w:t xml:space="preserve">Regulation 40 </w:t>
      </w:r>
    </w:p>
    <w:p w14:paraId="56EE56CD" w14:textId="77777777" w:rsidR="00E5193E" w:rsidRPr="00CF4C72" w:rsidRDefault="00E5193E" w:rsidP="00E5193E">
      <w:pPr>
        <w:rPr>
          <w:i/>
          <w:iCs/>
          <w:color w:val="000000" w:themeColor="text1"/>
        </w:rPr>
      </w:pPr>
      <w:r w:rsidRPr="00CF4C72">
        <w:rPr>
          <w:i/>
          <w:iCs/>
          <w:color w:val="000000" w:themeColor="text1"/>
        </w:rPr>
        <w:t>GHG Fuel Intensity</w:t>
      </w:r>
    </w:p>
    <w:p w14:paraId="1084D3E9" w14:textId="77777777" w:rsidR="00E5193E" w:rsidRPr="00CF4C72" w:rsidRDefault="00E5193E" w:rsidP="00E5193E">
      <w:pPr>
        <w:rPr>
          <w:i/>
          <w:iCs/>
          <w:color w:val="000000" w:themeColor="text1"/>
        </w:rPr>
      </w:pPr>
    </w:p>
    <w:p w14:paraId="52C25887" w14:textId="478F38EC" w:rsidR="00E5193E" w:rsidRPr="00CF4C72" w:rsidRDefault="00E5193E" w:rsidP="00E5193E">
      <w:pPr>
        <w:rPr>
          <w:color w:val="000000" w:themeColor="text1"/>
        </w:rPr>
      </w:pPr>
      <w:r w:rsidRPr="00CF4C72">
        <w:rPr>
          <w:color w:val="000000" w:themeColor="text1"/>
        </w:rPr>
        <w:t>1</w:t>
      </w:r>
      <w:r w:rsidRPr="00CF4C72">
        <w:rPr>
          <w:color w:val="000000" w:themeColor="text1"/>
        </w:rPr>
        <w:tab/>
        <w:t xml:space="preserve">From 1 January 2030 </w:t>
      </w:r>
      <w:r w:rsidRPr="00CF4C72">
        <w:rPr>
          <w:rFonts w:cs="Arial"/>
          <w:color w:val="000000" w:themeColor="text1"/>
          <w:szCs w:val="22"/>
        </w:rPr>
        <w:t>t</w:t>
      </w:r>
      <w:r w:rsidRPr="00CF4C72">
        <w:rPr>
          <w:color w:val="000000" w:themeColor="text1"/>
        </w:rPr>
        <w:t>he GHG Fuel Intensity (Required GFI) of energy used on board</w:t>
      </w:r>
      <w:r w:rsidRPr="00CF4C72">
        <w:rPr>
          <w:rFonts w:cs="Arial"/>
          <w:color w:val="000000" w:themeColor="text1"/>
          <w:szCs w:val="22"/>
        </w:rPr>
        <w:t xml:space="preserve"> the ship shall not exceed </w:t>
      </w:r>
      <w:r w:rsidR="00F345EB">
        <w:rPr>
          <w:rFonts w:cs="Arial"/>
          <w:color w:val="000000" w:themeColor="text1"/>
          <w:szCs w:val="22"/>
        </w:rPr>
        <w:t>[</w:t>
      </w:r>
      <w:r w:rsidRPr="00CF4C72">
        <w:rPr>
          <w:rFonts w:cs="Arial"/>
          <w:color w:val="000000" w:themeColor="text1"/>
          <w:szCs w:val="22"/>
        </w:rPr>
        <w:t>[95%] of the GFI reference value</w:t>
      </w:r>
      <w:r w:rsidRPr="00CF4C72">
        <w:rPr>
          <w:rStyle w:val="FootnoteReference"/>
          <w:color w:val="000000" w:themeColor="text1"/>
        </w:rPr>
        <w:footnoteReference w:id="4"/>
      </w:r>
      <w:r w:rsidR="00F345EB">
        <w:rPr>
          <w:rFonts w:cs="Arial"/>
          <w:color w:val="000000" w:themeColor="text1"/>
          <w:szCs w:val="22"/>
        </w:rPr>
        <w:t>]</w:t>
      </w:r>
      <w:r w:rsidRPr="00CF4C72">
        <w:rPr>
          <w:color w:val="000000" w:themeColor="text1"/>
        </w:rPr>
        <w:t xml:space="preserve"> </w:t>
      </w:r>
      <w:r w:rsidRPr="00CF4C72">
        <w:rPr>
          <w:rFonts w:cs="Arial"/>
          <w:color w:val="000000" w:themeColor="text1"/>
          <w:szCs w:val="22"/>
        </w:rPr>
        <w:t>(gCO</w:t>
      </w:r>
      <w:r w:rsidRPr="00CF4C72">
        <w:rPr>
          <w:rFonts w:cs="Arial"/>
          <w:color w:val="000000" w:themeColor="text1"/>
          <w:szCs w:val="22"/>
          <w:vertAlign w:val="subscript"/>
        </w:rPr>
        <w:t>2e</w:t>
      </w:r>
      <w:r w:rsidRPr="00CF4C72">
        <w:rPr>
          <w:rFonts w:cs="Arial"/>
          <w:color w:val="000000" w:themeColor="text1"/>
          <w:szCs w:val="22"/>
        </w:rPr>
        <w:t>/MJ)</w:t>
      </w:r>
      <w:r w:rsidRPr="00CF4C72">
        <w:rPr>
          <w:rStyle w:val="FootnoteReference"/>
          <w:rFonts w:cs="Arial"/>
          <w:color w:val="000000" w:themeColor="text1"/>
          <w:szCs w:val="22"/>
        </w:rPr>
        <w:footnoteReference w:id="5"/>
      </w:r>
      <w:r w:rsidRPr="00113763">
        <w:rPr>
          <w:rFonts w:cs="Arial"/>
          <w:color w:val="000000" w:themeColor="text1"/>
          <w:szCs w:val="22"/>
          <w:vertAlign w:val="superscript"/>
        </w:rPr>
        <w:t>,</w:t>
      </w:r>
      <w:r w:rsidRPr="00CF4C72">
        <w:rPr>
          <w:rStyle w:val="FootnoteReference"/>
          <w:color w:val="000000" w:themeColor="text1"/>
        </w:rPr>
        <w:footnoteReference w:id="6"/>
      </w:r>
      <w:r w:rsidRPr="00113763">
        <w:rPr>
          <w:color w:val="000000" w:themeColor="text1"/>
          <w:vertAlign w:val="superscript"/>
        </w:rPr>
        <w:t>,</w:t>
      </w:r>
      <w:r>
        <w:rPr>
          <w:rStyle w:val="FootnoteReference"/>
          <w:color w:val="000000" w:themeColor="text1"/>
        </w:rPr>
        <w:footnoteReference w:id="7"/>
      </w:r>
      <w:r>
        <w:rPr>
          <w:color w:val="000000" w:themeColor="text1"/>
        </w:rPr>
        <w:t>.</w:t>
      </w:r>
    </w:p>
    <w:p w14:paraId="04CB0671" w14:textId="77777777" w:rsidR="00E5193E" w:rsidRPr="00CF4C72" w:rsidRDefault="00E5193E" w:rsidP="00E5193E">
      <w:pPr>
        <w:rPr>
          <w:color w:val="000000" w:themeColor="text1"/>
        </w:rPr>
      </w:pPr>
    </w:p>
    <w:p w14:paraId="7BC2D6E4" w14:textId="334AAD45" w:rsidR="00E5193E" w:rsidRPr="00CF4C72" w:rsidRDefault="00E5193E" w:rsidP="00E5193E">
      <w:pPr>
        <w:rPr>
          <w:color w:val="000000" w:themeColor="text1"/>
        </w:rPr>
      </w:pPr>
      <w:r>
        <w:rPr>
          <w:color w:val="000000" w:themeColor="text1"/>
        </w:rPr>
        <w:t>2</w:t>
      </w:r>
      <w:r w:rsidRPr="00CF4C72">
        <w:rPr>
          <w:color w:val="000000" w:themeColor="text1"/>
        </w:rPr>
        <w:tab/>
        <w:t xml:space="preserve">From 1 January 2040 </w:t>
      </w:r>
      <w:r w:rsidRPr="00CF4C72">
        <w:rPr>
          <w:rFonts w:cs="Arial"/>
          <w:color w:val="000000" w:themeColor="text1"/>
          <w:szCs w:val="22"/>
        </w:rPr>
        <w:t>t</w:t>
      </w:r>
      <w:r w:rsidRPr="00CF4C72">
        <w:rPr>
          <w:color w:val="000000" w:themeColor="text1"/>
        </w:rPr>
        <w:t>he GHG Fuel Intensity (Required GFI) of energy used on board</w:t>
      </w:r>
      <w:r w:rsidRPr="00CF4C72">
        <w:rPr>
          <w:rFonts w:cs="Arial"/>
          <w:color w:val="000000" w:themeColor="text1"/>
          <w:szCs w:val="22"/>
        </w:rPr>
        <w:t xml:space="preserve"> the ship shall not exceed </w:t>
      </w:r>
      <w:r w:rsidR="00D423E5">
        <w:rPr>
          <w:rFonts w:cs="Arial"/>
          <w:color w:val="000000" w:themeColor="text1"/>
          <w:szCs w:val="22"/>
        </w:rPr>
        <w:t>[</w:t>
      </w:r>
      <w:r w:rsidRPr="00CF4C72">
        <w:rPr>
          <w:rFonts w:cs="Arial"/>
          <w:color w:val="000000" w:themeColor="text1"/>
          <w:szCs w:val="22"/>
        </w:rPr>
        <w:t>[70%] of the GFI reference value</w:t>
      </w:r>
      <w:r w:rsidR="00D423E5">
        <w:rPr>
          <w:rFonts w:cs="Arial"/>
          <w:color w:val="000000" w:themeColor="text1"/>
          <w:szCs w:val="22"/>
        </w:rPr>
        <w:t>]</w:t>
      </w:r>
      <w:r w:rsidRPr="00CF4C72">
        <w:rPr>
          <w:color w:val="000000" w:themeColor="text1"/>
        </w:rPr>
        <w:t xml:space="preserve"> </w:t>
      </w:r>
      <w:r w:rsidRPr="00CF4C72">
        <w:rPr>
          <w:rFonts w:cs="Arial"/>
          <w:color w:val="000000" w:themeColor="text1"/>
          <w:szCs w:val="22"/>
        </w:rPr>
        <w:t>(gCO</w:t>
      </w:r>
      <w:r w:rsidRPr="00CF4C72">
        <w:rPr>
          <w:rFonts w:cs="Arial"/>
          <w:color w:val="000000" w:themeColor="text1"/>
          <w:szCs w:val="22"/>
          <w:vertAlign w:val="subscript"/>
        </w:rPr>
        <w:t>2e</w:t>
      </w:r>
      <w:r w:rsidRPr="00CF4C72">
        <w:rPr>
          <w:rFonts w:cs="Arial"/>
          <w:color w:val="000000" w:themeColor="text1"/>
          <w:szCs w:val="22"/>
        </w:rPr>
        <w:t>/MJ).</w:t>
      </w:r>
    </w:p>
    <w:p w14:paraId="7CBAF1B8" w14:textId="77777777" w:rsidR="00E5193E" w:rsidRPr="00CF4C72" w:rsidRDefault="00E5193E" w:rsidP="00E5193E">
      <w:pPr>
        <w:rPr>
          <w:color w:val="000000" w:themeColor="text1"/>
        </w:rPr>
      </w:pPr>
    </w:p>
    <w:p w14:paraId="2AD81AA7" w14:textId="77777777" w:rsidR="00E5193E" w:rsidRPr="00CF4C72" w:rsidRDefault="00E5193E" w:rsidP="00E5193E">
      <w:pPr>
        <w:rPr>
          <w:color w:val="000000" w:themeColor="text1"/>
        </w:rPr>
      </w:pPr>
      <w:r>
        <w:rPr>
          <w:color w:val="000000" w:themeColor="text1"/>
        </w:rPr>
        <w:t>3</w:t>
      </w:r>
      <w:r w:rsidRPr="00CF4C72">
        <w:rPr>
          <w:color w:val="000000" w:themeColor="text1"/>
        </w:rPr>
        <w:tab/>
        <w:t xml:space="preserve">The standard set forth in paragraph 1 shall be subject to a review to be completed by 1 January 2028 to determine the cost and availability of marine fuels to comply with the standard set forth in that paragraph and confirmation by the Parties that it is possible for ships to comply. </w:t>
      </w:r>
    </w:p>
    <w:p w14:paraId="3F83476B" w14:textId="77777777" w:rsidR="00E5193E" w:rsidRPr="00CF4C72" w:rsidRDefault="00E5193E" w:rsidP="00E5193E">
      <w:pPr>
        <w:ind w:left="851"/>
        <w:rPr>
          <w:color w:val="000000" w:themeColor="text1"/>
        </w:rPr>
      </w:pPr>
    </w:p>
    <w:p w14:paraId="2A57AA0A" w14:textId="77777777" w:rsidR="00E5193E" w:rsidRPr="00CF4C72" w:rsidRDefault="00E5193E" w:rsidP="00E5193E">
      <w:pPr>
        <w:rPr>
          <w:color w:val="000000" w:themeColor="text1"/>
        </w:rPr>
      </w:pPr>
      <w:r>
        <w:rPr>
          <w:color w:val="000000" w:themeColor="text1"/>
        </w:rPr>
        <w:t>4</w:t>
      </w:r>
      <w:r w:rsidRPr="00CF4C72">
        <w:rPr>
          <w:color w:val="000000" w:themeColor="text1"/>
        </w:rPr>
        <w:tab/>
        <w:t xml:space="preserve">The standard set forth in paragraph </w:t>
      </w:r>
      <w:r>
        <w:rPr>
          <w:color w:val="000000" w:themeColor="text1"/>
        </w:rPr>
        <w:t>2</w:t>
      </w:r>
      <w:r w:rsidRPr="00CF4C72">
        <w:rPr>
          <w:color w:val="000000" w:themeColor="text1"/>
        </w:rPr>
        <w:t xml:space="preserve"> shall be subject to a review to be completed by 1 January [203X]</w:t>
      </w:r>
      <w:r>
        <w:rPr>
          <w:color w:val="000000" w:themeColor="text1"/>
        </w:rPr>
        <w:t>.</w:t>
      </w:r>
    </w:p>
    <w:p w14:paraId="00231721" w14:textId="77777777" w:rsidR="00E5193E" w:rsidRPr="00CF4C72" w:rsidRDefault="00E5193E" w:rsidP="00E5193E">
      <w:pPr>
        <w:rPr>
          <w:rFonts w:cs="Arial"/>
          <w:color w:val="000000" w:themeColor="text1"/>
          <w:szCs w:val="22"/>
        </w:rPr>
      </w:pPr>
    </w:p>
    <w:p w14:paraId="5D3B0A21" w14:textId="55F470D2" w:rsidR="00E5193E" w:rsidRPr="00CF4C72" w:rsidRDefault="00E5193E" w:rsidP="00E5193E">
      <w:pPr>
        <w:rPr>
          <w:rFonts w:cs="Arial"/>
          <w:color w:val="000000" w:themeColor="text1"/>
          <w:szCs w:val="22"/>
        </w:rPr>
      </w:pPr>
      <w:r>
        <w:rPr>
          <w:rFonts w:cs="Arial"/>
          <w:color w:val="000000" w:themeColor="text1"/>
          <w:szCs w:val="22"/>
        </w:rPr>
        <w:t>5</w:t>
      </w:r>
      <w:r w:rsidRPr="00CF4C72">
        <w:rPr>
          <w:rFonts w:cs="Arial"/>
          <w:color w:val="000000" w:themeColor="text1"/>
          <w:szCs w:val="22"/>
        </w:rPr>
        <w:tab/>
        <w:t>Pursuant to regulation 18.2.1 of this Annex, a ship not able to purchase compliant fuel oil</w:t>
      </w:r>
      <w:r w:rsidR="00AC2F39">
        <w:rPr>
          <w:rStyle w:val="FootnoteReference"/>
          <w:rFonts w:cs="Arial"/>
          <w:color w:val="000000" w:themeColor="text1"/>
          <w:szCs w:val="22"/>
        </w:rPr>
        <w:footnoteReference w:id="8"/>
      </w:r>
      <w:r w:rsidRPr="00CF4C72">
        <w:rPr>
          <w:rFonts w:cs="Arial"/>
          <w:color w:val="000000" w:themeColor="text1"/>
          <w:szCs w:val="22"/>
        </w:rPr>
        <w:t xml:space="preserve"> to meet the requirement set out in paragraph 1 of this regulation, shall notify its Administration taking into account guidelines developed by the Organization</w:t>
      </w:r>
      <w:r w:rsidRPr="00CF4C72">
        <w:rPr>
          <w:rStyle w:val="FootnoteReference"/>
          <w:rFonts w:cs="Arial"/>
          <w:color w:val="000000" w:themeColor="text1"/>
          <w:szCs w:val="22"/>
        </w:rPr>
        <w:footnoteReference w:id="9"/>
      </w:r>
      <w:r w:rsidRPr="00CF4C72">
        <w:rPr>
          <w:rFonts w:cs="Arial"/>
          <w:color w:val="000000" w:themeColor="text1"/>
          <w:szCs w:val="22"/>
        </w:rPr>
        <w:t>.</w:t>
      </w:r>
    </w:p>
    <w:p w14:paraId="3D007639" w14:textId="77777777" w:rsidR="00E5193E" w:rsidRDefault="00E5193E" w:rsidP="00E5193E">
      <w:pPr>
        <w:rPr>
          <w:rFonts w:cs="Arial"/>
          <w:color w:val="000000" w:themeColor="text1"/>
          <w:szCs w:val="22"/>
        </w:rPr>
      </w:pPr>
    </w:p>
    <w:p w14:paraId="55C42F97" w14:textId="77777777" w:rsidR="00E5193E" w:rsidRPr="009104B0" w:rsidRDefault="00E5193E" w:rsidP="00E5193E">
      <w:pPr>
        <w:rPr>
          <w:rFonts w:cs="Arial"/>
          <w:b/>
          <w:bCs/>
          <w:color w:val="000000" w:themeColor="text1"/>
          <w:szCs w:val="22"/>
        </w:rPr>
      </w:pPr>
      <w:r w:rsidRPr="009104B0">
        <w:rPr>
          <w:rFonts w:cs="Arial"/>
          <w:b/>
          <w:bCs/>
          <w:color w:val="000000" w:themeColor="text1"/>
          <w:szCs w:val="22"/>
        </w:rPr>
        <w:t>Regulation 4</w:t>
      </w:r>
      <w:r>
        <w:rPr>
          <w:rFonts w:cs="Arial"/>
          <w:b/>
          <w:bCs/>
          <w:color w:val="000000" w:themeColor="text1"/>
          <w:szCs w:val="22"/>
        </w:rPr>
        <w:t>1</w:t>
      </w:r>
    </w:p>
    <w:p w14:paraId="62628740" w14:textId="77777777" w:rsidR="00E5193E" w:rsidRPr="009104B0" w:rsidRDefault="00E5193E" w:rsidP="00E5193E">
      <w:pPr>
        <w:rPr>
          <w:rFonts w:cs="Arial"/>
          <w:i/>
          <w:iCs/>
          <w:color w:val="000000" w:themeColor="text1"/>
          <w:szCs w:val="22"/>
        </w:rPr>
      </w:pPr>
      <w:r w:rsidRPr="009104B0">
        <w:rPr>
          <w:rFonts w:cs="Arial"/>
          <w:i/>
          <w:iCs/>
          <w:color w:val="000000" w:themeColor="text1"/>
          <w:szCs w:val="22"/>
        </w:rPr>
        <w:t xml:space="preserve">Energy pooling compliance mechanism </w:t>
      </w:r>
    </w:p>
    <w:p w14:paraId="78EB8274" w14:textId="77777777" w:rsidR="00E5193E" w:rsidRPr="009104B0" w:rsidRDefault="00E5193E" w:rsidP="00E5193E">
      <w:pPr>
        <w:rPr>
          <w:rFonts w:cs="Arial"/>
          <w:color w:val="000000" w:themeColor="text1"/>
          <w:szCs w:val="22"/>
        </w:rPr>
      </w:pPr>
    </w:p>
    <w:p w14:paraId="7DF8A508" w14:textId="4882B938" w:rsidR="00E5193E" w:rsidRPr="00702C2C" w:rsidRDefault="00E5193E" w:rsidP="00E5193E">
      <w:pPr>
        <w:rPr>
          <w:rFonts w:cs="Arial"/>
          <w:color w:val="000000" w:themeColor="text1"/>
          <w:szCs w:val="22"/>
        </w:rPr>
      </w:pPr>
      <w:r w:rsidRPr="009104B0">
        <w:rPr>
          <w:rFonts w:cs="Arial"/>
          <w:color w:val="000000" w:themeColor="text1"/>
          <w:szCs w:val="22"/>
        </w:rPr>
        <w:t>1</w:t>
      </w:r>
      <w:r w:rsidRPr="009104B0">
        <w:rPr>
          <w:rFonts w:cs="Arial"/>
          <w:color w:val="000000" w:themeColor="text1"/>
          <w:szCs w:val="22"/>
        </w:rPr>
        <w:tab/>
        <w:t xml:space="preserve">For applicable ships, the </w:t>
      </w:r>
      <w:r w:rsidRPr="00A6166A">
        <w:rPr>
          <w:rFonts w:cs="Arial"/>
          <w:szCs w:val="22"/>
        </w:rPr>
        <w:t>Administration</w:t>
      </w:r>
      <w:r w:rsidR="00A6166A">
        <w:rPr>
          <w:rFonts w:cs="Arial"/>
          <w:szCs w:val="22"/>
        </w:rPr>
        <w:t xml:space="preserve"> </w:t>
      </w:r>
      <w:r w:rsidR="005A22E6" w:rsidRPr="00A6166A">
        <w:rPr>
          <w:rFonts w:cs="Arial"/>
          <w:szCs w:val="22"/>
        </w:rPr>
        <w:t>[</w:t>
      </w:r>
      <w:r w:rsidRPr="00A6166A">
        <w:rPr>
          <w:rFonts w:cs="Arial"/>
          <w:szCs w:val="22"/>
        </w:rPr>
        <w:t>may</w:t>
      </w:r>
      <w:r w:rsidR="005A22E6" w:rsidRPr="00A6166A">
        <w:rPr>
          <w:rFonts w:cs="Arial"/>
          <w:szCs w:val="22"/>
        </w:rPr>
        <w:t>]</w:t>
      </w:r>
      <w:r w:rsidRPr="00A6166A">
        <w:rPr>
          <w:rFonts w:cs="Arial"/>
          <w:szCs w:val="22"/>
        </w:rPr>
        <w:t xml:space="preserve"> </w:t>
      </w:r>
      <w:r w:rsidRPr="00702C2C">
        <w:rPr>
          <w:rFonts w:cs="Arial"/>
          <w:color w:val="000000" w:themeColor="text1"/>
          <w:szCs w:val="22"/>
        </w:rPr>
        <w:t>approve the use, by a ship</w:t>
      </w:r>
      <w:r w:rsidR="00F455F2" w:rsidRPr="00702C2C">
        <w:rPr>
          <w:rFonts w:cs="Arial"/>
          <w:color w:val="000000" w:themeColor="text1"/>
          <w:szCs w:val="22"/>
        </w:rPr>
        <w:t xml:space="preserve">, </w:t>
      </w:r>
      <w:r w:rsidR="00A972BD" w:rsidRPr="00702C2C">
        <w:rPr>
          <w:rFonts w:cs="Arial"/>
          <w:color w:val="000000" w:themeColor="text1"/>
          <w:szCs w:val="22"/>
        </w:rPr>
        <w:t>if requested</w:t>
      </w:r>
      <w:r w:rsidRPr="00702C2C">
        <w:rPr>
          <w:rFonts w:cs="Arial"/>
          <w:color w:val="000000" w:themeColor="text1"/>
          <w:szCs w:val="22"/>
        </w:rPr>
        <w:t>, of an energy pooling mechanism to demonstrate compliance with regulation 40 of this Annex</w:t>
      </w:r>
      <w:r w:rsidRPr="00702C2C">
        <w:rPr>
          <w:rFonts w:cs="Arial"/>
          <w:color w:val="000000" w:themeColor="text1"/>
          <w:szCs w:val="22"/>
          <w:vertAlign w:val="superscript"/>
        </w:rPr>
        <w:footnoteReference w:id="10"/>
      </w:r>
      <w:r w:rsidRPr="00702C2C">
        <w:rPr>
          <w:rFonts w:cs="Arial"/>
          <w:color w:val="000000" w:themeColor="text1"/>
          <w:szCs w:val="22"/>
        </w:rPr>
        <w:t>. Each ship in the energy pooling compliance mechanism shall be issued with a Pooled Energy Intensity Compliance Certificate (PEICC)</w:t>
      </w:r>
      <w:r w:rsidRPr="00702C2C">
        <w:rPr>
          <w:rFonts w:cs="Arial"/>
          <w:color w:val="000000" w:themeColor="text1"/>
          <w:szCs w:val="22"/>
          <w:vertAlign w:val="superscript"/>
        </w:rPr>
        <w:footnoteReference w:id="11"/>
      </w:r>
      <w:r w:rsidRPr="00702C2C">
        <w:rPr>
          <w:rFonts w:cs="Arial"/>
          <w:color w:val="000000" w:themeColor="text1"/>
          <w:szCs w:val="22"/>
        </w:rPr>
        <w:t xml:space="preserve"> either by the Administration or any organization duly authorized by it</w:t>
      </w:r>
      <w:r w:rsidR="00F6357D">
        <w:rPr>
          <w:rFonts w:cs="Arial"/>
          <w:color w:val="000000" w:themeColor="text1"/>
          <w:szCs w:val="22"/>
        </w:rPr>
        <w:t xml:space="preserve"> </w:t>
      </w:r>
      <w:r w:rsidR="000C37F0" w:rsidRPr="00702C2C">
        <w:rPr>
          <w:rFonts w:cs="Arial"/>
          <w:color w:val="000000" w:themeColor="text1"/>
          <w:szCs w:val="22"/>
        </w:rPr>
        <w:t xml:space="preserve">at intervals </w:t>
      </w:r>
      <w:r w:rsidR="00843E25" w:rsidRPr="00702C2C">
        <w:rPr>
          <w:rFonts w:cs="Arial"/>
          <w:color w:val="000000" w:themeColor="text1"/>
          <w:szCs w:val="22"/>
        </w:rPr>
        <w:t xml:space="preserve">specified by the </w:t>
      </w:r>
      <w:r w:rsidR="003A3C88" w:rsidRPr="00702C2C">
        <w:rPr>
          <w:rFonts w:cs="Arial"/>
          <w:color w:val="000000" w:themeColor="text1"/>
          <w:szCs w:val="22"/>
        </w:rPr>
        <w:t>A</w:t>
      </w:r>
      <w:r w:rsidR="00843E25" w:rsidRPr="00702C2C">
        <w:rPr>
          <w:rFonts w:cs="Arial"/>
          <w:color w:val="000000" w:themeColor="text1"/>
          <w:szCs w:val="22"/>
        </w:rPr>
        <w:t>dministration</w:t>
      </w:r>
      <w:r w:rsidR="004F29A2" w:rsidRPr="00702C2C">
        <w:rPr>
          <w:rFonts w:cs="Arial"/>
          <w:color w:val="000000" w:themeColor="text1"/>
          <w:szCs w:val="22"/>
        </w:rPr>
        <w:t>, but</w:t>
      </w:r>
      <w:r w:rsidR="00843E25" w:rsidRPr="00702C2C">
        <w:rPr>
          <w:rFonts w:cs="Arial"/>
          <w:color w:val="000000" w:themeColor="text1"/>
          <w:szCs w:val="22"/>
        </w:rPr>
        <w:t xml:space="preserve"> </w:t>
      </w:r>
      <w:r w:rsidR="000C37F0" w:rsidRPr="00702C2C">
        <w:rPr>
          <w:rFonts w:cs="Arial"/>
          <w:color w:val="000000" w:themeColor="text1"/>
          <w:szCs w:val="22"/>
        </w:rPr>
        <w:t>not exceeding twelve months</w:t>
      </w:r>
      <w:r w:rsidR="00F81F7D" w:rsidRPr="00702C2C">
        <w:rPr>
          <w:rFonts w:cs="Arial"/>
          <w:color w:val="000000" w:themeColor="text1"/>
          <w:szCs w:val="22"/>
        </w:rPr>
        <w:t>.</w:t>
      </w:r>
    </w:p>
    <w:p w14:paraId="46E01EB7" w14:textId="77777777" w:rsidR="00E5193E" w:rsidRPr="009104B0" w:rsidRDefault="00E5193E" w:rsidP="00E5193E">
      <w:pPr>
        <w:rPr>
          <w:rFonts w:cs="Arial"/>
          <w:color w:val="000000" w:themeColor="text1"/>
          <w:szCs w:val="22"/>
        </w:rPr>
      </w:pPr>
    </w:p>
    <w:p w14:paraId="1F07213C" w14:textId="0BA6F38A" w:rsidR="00E5193E" w:rsidRPr="00702C2C" w:rsidRDefault="00E5193E" w:rsidP="00E5193E">
      <w:pPr>
        <w:rPr>
          <w:rFonts w:cs="Arial"/>
          <w:color w:val="000000" w:themeColor="text1"/>
          <w:szCs w:val="22"/>
        </w:rPr>
      </w:pPr>
      <w:r w:rsidRPr="009104B0">
        <w:rPr>
          <w:rFonts w:cs="Arial"/>
          <w:color w:val="000000" w:themeColor="text1"/>
          <w:szCs w:val="22"/>
        </w:rPr>
        <w:t>2</w:t>
      </w:r>
      <w:r w:rsidRPr="009104B0">
        <w:rPr>
          <w:rFonts w:cs="Arial"/>
          <w:color w:val="000000" w:themeColor="text1"/>
          <w:szCs w:val="22"/>
        </w:rPr>
        <w:tab/>
        <w:t>Each ship in an approved energy pooling compliance mechanism that has an attained GFI superior to the required GFI, as set out under regulation 40 of this Annex, may allocate the verified excess GFI</w:t>
      </w:r>
      <w:r w:rsidRPr="009104B0">
        <w:rPr>
          <w:rFonts w:cs="Arial"/>
          <w:i/>
          <w:iCs/>
          <w:color w:val="000000" w:themeColor="text1"/>
          <w:szCs w:val="22"/>
        </w:rPr>
        <w:t xml:space="preserve"> </w:t>
      </w:r>
      <w:r w:rsidRPr="009104B0">
        <w:rPr>
          <w:rFonts w:cs="Arial"/>
          <w:color w:val="000000" w:themeColor="text1"/>
          <w:szCs w:val="22"/>
        </w:rPr>
        <w:t>to the energy pooling compliance mechanism, taking into account the guidelines developed by the Organization</w:t>
      </w:r>
      <w:r w:rsidR="00302187">
        <w:rPr>
          <w:rFonts w:cs="Arial"/>
          <w:color w:val="000000" w:themeColor="text1"/>
          <w:szCs w:val="22"/>
        </w:rPr>
        <w:t>.</w:t>
      </w:r>
      <w:r w:rsidRPr="00702C2C">
        <w:rPr>
          <w:rFonts w:cs="Arial"/>
          <w:color w:val="000000" w:themeColor="text1"/>
          <w:szCs w:val="22"/>
          <w:vertAlign w:val="superscript"/>
        </w:rPr>
        <w:footnoteReference w:id="12"/>
      </w:r>
      <w:r w:rsidR="00B01DCA">
        <w:rPr>
          <w:rFonts w:cs="Arial"/>
          <w:color w:val="000000" w:themeColor="text1"/>
          <w:szCs w:val="22"/>
        </w:rPr>
        <w:t xml:space="preserve"> </w:t>
      </w:r>
      <w:r w:rsidR="00B9304B" w:rsidRPr="00702C2C">
        <w:rPr>
          <w:rStyle w:val="FootnoteReference"/>
          <w:rFonts w:cs="Arial"/>
          <w:color w:val="000000" w:themeColor="text1"/>
          <w:szCs w:val="22"/>
        </w:rPr>
        <w:footnoteReference w:id="13"/>
      </w:r>
    </w:p>
    <w:p w14:paraId="6F92AA99" w14:textId="77777777" w:rsidR="00E5193E" w:rsidRPr="00702C2C" w:rsidRDefault="00E5193E" w:rsidP="00E5193E">
      <w:pPr>
        <w:rPr>
          <w:rFonts w:cs="Arial"/>
          <w:color w:val="000000" w:themeColor="text1"/>
          <w:szCs w:val="22"/>
        </w:rPr>
      </w:pPr>
    </w:p>
    <w:p w14:paraId="68A7AB70" w14:textId="10D97A2A" w:rsidR="00E5193E" w:rsidRPr="00702C2C" w:rsidRDefault="00E5193E" w:rsidP="00E5193E">
      <w:pPr>
        <w:rPr>
          <w:rFonts w:cs="Arial"/>
          <w:color w:val="000000" w:themeColor="text1"/>
          <w:szCs w:val="22"/>
        </w:rPr>
      </w:pPr>
      <w:r w:rsidRPr="00702C2C">
        <w:rPr>
          <w:rFonts w:cs="Arial"/>
          <w:color w:val="000000" w:themeColor="text1"/>
          <w:szCs w:val="22"/>
        </w:rPr>
        <w:t>3</w:t>
      </w:r>
      <w:r w:rsidRPr="00702C2C">
        <w:rPr>
          <w:rFonts w:cs="Arial"/>
          <w:color w:val="000000" w:themeColor="text1"/>
          <w:szCs w:val="22"/>
        </w:rPr>
        <w:tab/>
        <w:t>The verified excess GFI of a ship participating in an approved energy pooling compliance mechanism can be used by a ship in the same energy pooling compliance mechanism to comply with regulation 40 of this Annex, provided that the attained GFI</w:t>
      </w:r>
      <w:r w:rsidRPr="00702C2C">
        <w:rPr>
          <w:rStyle w:val="FootnoteReference"/>
          <w:rFonts w:cs="Arial"/>
          <w:color w:val="000000" w:themeColor="text1"/>
          <w:szCs w:val="22"/>
        </w:rPr>
        <w:footnoteReference w:id="14"/>
      </w:r>
      <w:r w:rsidRPr="00702C2C">
        <w:rPr>
          <w:rFonts w:cs="Arial"/>
          <w:color w:val="000000" w:themeColor="text1"/>
          <w:szCs w:val="22"/>
        </w:rPr>
        <w:t xml:space="preserve"> of each ship participating in the same energy pooling mechanism shall comply with the required GFI as set out in regulation 40 of this Annex.</w:t>
      </w:r>
      <w:r w:rsidR="00B9304B" w:rsidRPr="00702C2C">
        <w:rPr>
          <w:rStyle w:val="FootnoteReference"/>
          <w:rFonts w:cs="Arial"/>
          <w:color w:val="000000" w:themeColor="text1"/>
          <w:szCs w:val="22"/>
        </w:rPr>
        <w:footnoteReference w:id="15"/>
      </w:r>
    </w:p>
    <w:p w14:paraId="2A89B930" w14:textId="77777777" w:rsidR="00AB3F70" w:rsidRPr="00702C2C" w:rsidRDefault="00AB3F70" w:rsidP="00E5193E">
      <w:pPr>
        <w:rPr>
          <w:rFonts w:cs="Arial"/>
          <w:color w:val="000000" w:themeColor="text1"/>
          <w:szCs w:val="22"/>
        </w:rPr>
      </w:pPr>
    </w:p>
    <w:p w14:paraId="7010BF83" w14:textId="50E0728E" w:rsidR="00AB3F70" w:rsidRPr="00702C2C" w:rsidRDefault="000375CF" w:rsidP="00E5193E">
      <w:pPr>
        <w:rPr>
          <w:rFonts w:cs="Arial"/>
          <w:i/>
          <w:iCs/>
          <w:color w:val="000000" w:themeColor="text1"/>
          <w:szCs w:val="22"/>
        </w:rPr>
      </w:pPr>
      <w:r w:rsidRPr="00702C2C">
        <w:rPr>
          <w:rFonts w:cs="Arial"/>
          <w:color w:val="000000" w:themeColor="text1"/>
          <w:szCs w:val="22"/>
        </w:rPr>
        <w:t>4</w:t>
      </w:r>
      <w:r w:rsidRPr="00702C2C">
        <w:rPr>
          <w:rFonts w:cs="Arial"/>
          <w:color w:val="000000" w:themeColor="text1"/>
          <w:szCs w:val="22"/>
        </w:rPr>
        <w:tab/>
      </w:r>
      <w:r w:rsidRPr="00702C2C">
        <w:rPr>
          <w:color w:val="000000" w:themeColor="text1"/>
        </w:rPr>
        <w:t xml:space="preserve">The attained GFI of a ship participating in </w:t>
      </w:r>
      <w:r w:rsidR="004D3DFC" w:rsidRPr="00702C2C">
        <w:rPr>
          <w:color w:val="000000" w:themeColor="text1"/>
        </w:rPr>
        <w:t xml:space="preserve">an approved </w:t>
      </w:r>
      <w:r w:rsidRPr="00702C2C">
        <w:rPr>
          <w:color w:val="000000" w:themeColor="text1"/>
        </w:rPr>
        <w:t>energy pool</w:t>
      </w:r>
      <w:r w:rsidR="00DA4B74" w:rsidRPr="00702C2C">
        <w:rPr>
          <w:color w:val="000000" w:themeColor="text1"/>
        </w:rPr>
        <w:t>ing</w:t>
      </w:r>
      <w:r w:rsidRPr="00702C2C">
        <w:rPr>
          <w:color w:val="000000" w:themeColor="text1"/>
        </w:rPr>
        <w:t xml:space="preserve"> compliance mechanism shall be the arithmetic mean GFI of the ships participating in the pool</w:t>
      </w:r>
      <w:r w:rsidR="00BA18A8" w:rsidRPr="00702C2C">
        <w:rPr>
          <w:color w:val="000000" w:themeColor="text1"/>
        </w:rPr>
        <w:t>,</w:t>
      </w:r>
      <w:r w:rsidRPr="00702C2C">
        <w:rPr>
          <w:color w:val="000000" w:themeColor="text1"/>
        </w:rPr>
        <w:t xml:space="preserve"> over the period the ship is a member of the same energy pool</w:t>
      </w:r>
      <w:r w:rsidR="00326620" w:rsidRPr="00702C2C">
        <w:rPr>
          <w:color w:val="000000" w:themeColor="text1"/>
        </w:rPr>
        <w:t>ing</w:t>
      </w:r>
      <w:r w:rsidRPr="00702C2C">
        <w:rPr>
          <w:color w:val="000000" w:themeColor="text1"/>
        </w:rPr>
        <w:t xml:space="preserve"> compliance mechanism</w:t>
      </w:r>
      <w:r w:rsidR="00BA18A8" w:rsidRPr="00702C2C">
        <w:rPr>
          <w:color w:val="000000" w:themeColor="text1"/>
        </w:rPr>
        <w:t>.</w:t>
      </w:r>
    </w:p>
    <w:p w14:paraId="0368CB45" w14:textId="77777777" w:rsidR="00E5193E" w:rsidRPr="00702C2C" w:rsidRDefault="00E5193E" w:rsidP="00E5193E">
      <w:pPr>
        <w:rPr>
          <w:rFonts w:cs="Arial"/>
          <w:i/>
          <w:iCs/>
          <w:color w:val="000000" w:themeColor="text1"/>
          <w:szCs w:val="22"/>
        </w:rPr>
      </w:pPr>
    </w:p>
    <w:p w14:paraId="664AD8E7" w14:textId="4DF8E990" w:rsidR="00E5193E" w:rsidRPr="00702C2C" w:rsidRDefault="00BA18A8" w:rsidP="00E5193E">
      <w:pPr>
        <w:rPr>
          <w:rFonts w:cs="Arial"/>
          <w:color w:val="000000" w:themeColor="text1"/>
          <w:szCs w:val="22"/>
        </w:rPr>
      </w:pPr>
      <w:r w:rsidRPr="00702C2C">
        <w:rPr>
          <w:rFonts w:cs="Arial"/>
          <w:color w:val="000000" w:themeColor="text1"/>
          <w:szCs w:val="22"/>
        </w:rPr>
        <w:t>5</w:t>
      </w:r>
      <w:r w:rsidR="00E5193E" w:rsidRPr="00702C2C">
        <w:rPr>
          <w:rFonts w:cs="Arial"/>
          <w:color w:val="000000" w:themeColor="text1"/>
          <w:szCs w:val="22"/>
        </w:rPr>
        <w:tab/>
        <w:t>The attained GFI of each ship participating in an approved energy pooling compliance mechanism shall be verified by the ship’s Administration or any organization duly authorized by it</w:t>
      </w:r>
      <w:r w:rsidR="00B9304B" w:rsidRPr="00702C2C">
        <w:rPr>
          <w:rFonts w:cs="Arial"/>
          <w:color w:val="000000" w:themeColor="text1"/>
          <w:szCs w:val="22"/>
        </w:rPr>
        <w:t xml:space="preserve"> at intervals </w:t>
      </w:r>
      <w:r w:rsidR="0091692F" w:rsidRPr="00702C2C">
        <w:rPr>
          <w:rFonts w:cs="Arial"/>
          <w:color w:val="000000" w:themeColor="text1"/>
          <w:szCs w:val="22"/>
        </w:rPr>
        <w:t>specified</w:t>
      </w:r>
      <w:r w:rsidR="00E7093D" w:rsidRPr="00702C2C">
        <w:rPr>
          <w:rFonts w:cs="Arial"/>
          <w:color w:val="000000" w:themeColor="text1"/>
          <w:szCs w:val="22"/>
        </w:rPr>
        <w:t xml:space="preserve"> by the Administration</w:t>
      </w:r>
      <w:r w:rsidR="00BA0A91" w:rsidRPr="00702C2C">
        <w:rPr>
          <w:rFonts w:cs="Arial"/>
          <w:color w:val="000000" w:themeColor="text1"/>
          <w:szCs w:val="22"/>
        </w:rPr>
        <w:t>,</w:t>
      </w:r>
      <w:r w:rsidR="004F29A2" w:rsidRPr="00702C2C">
        <w:rPr>
          <w:rFonts w:cs="Arial"/>
          <w:color w:val="000000" w:themeColor="text1"/>
          <w:szCs w:val="22"/>
        </w:rPr>
        <w:t xml:space="preserve"> </w:t>
      </w:r>
      <w:r w:rsidR="00BA0A91" w:rsidRPr="00702C2C">
        <w:rPr>
          <w:rFonts w:cs="Arial"/>
          <w:color w:val="000000" w:themeColor="text1"/>
          <w:szCs w:val="22"/>
        </w:rPr>
        <w:t xml:space="preserve">but </w:t>
      </w:r>
      <w:r w:rsidR="00B9304B" w:rsidRPr="00702C2C">
        <w:rPr>
          <w:rFonts w:cs="Arial"/>
          <w:color w:val="000000" w:themeColor="text1"/>
          <w:szCs w:val="22"/>
        </w:rPr>
        <w:t>not exceeding twelve months</w:t>
      </w:r>
      <w:r w:rsidR="00E5193E" w:rsidRPr="00702C2C">
        <w:rPr>
          <w:rFonts w:cs="Arial"/>
          <w:color w:val="000000" w:themeColor="text1"/>
          <w:szCs w:val="22"/>
        </w:rPr>
        <w:t>,</w:t>
      </w:r>
      <w:r w:rsidR="00E5193E" w:rsidRPr="00702C2C">
        <w:rPr>
          <w:rFonts w:cs="Arial"/>
          <w:color w:val="000000" w:themeColor="text1"/>
          <w:szCs w:val="22"/>
          <w:vertAlign w:val="superscript"/>
        </w:rPr>
        <w:t xml:space="preserve"> </w:t>
      </w:r>
      <w:r w:rsidR="00E5193E" w:rsidRPr="00702C2C">
        <w:rPr>
          <w:rFonts w:cs="Arial"/>
          <w:color w:val="000000" w:themeColor="text1"/>
          <w:szCs w:val="22"/>
        </w:rPr>
        <w:t>and included on the PEICC issued by the Administration or any organization duly authorized by it.</w:t>
      </w:r>
    </w:p>
    <w:p w14:paraId="606FF0A8" w14:textId="77777777" w:rsidR="00E5193E" w:rsidRPr="00702C2C" w:rsidRDefault="00E5193E" w:rsidP="00E5193E">
      <w:pPr>
        <w:rPr>
          <w:rFonts w:cs="Arial"/>
          <w:i/>
          <w:iCs/>
          <w:color w:val="000000" w:themeColor="text1"/>
          <w:szCs w:val="22"/>
        </w:rPr>
      </w:pPr>
    </w:p>
    <w:p w14:paraId="41703599" w14:textId="3A395C1B" w:rsidR="00E5193E" w:rsidRPr="00702C2C" w:rsidRDefault="00BA18A8" w:rsidP="00E5193E">
      <w:pPr>
        <w:rPr>
          <w:rFonts w:cs="Arial"/>
          <w:b/>
          <w:bCs/>
          <w:color w:val="000000" w:themeColor="text1"/>
          <w:szCs w:val="22"/>
        </w:rPr>
      </w:pPr>
      <w:r w:rsidRPr="00702C2C">
        <w:rPr>
          <w:rFonts w:cs="Arial"/>
          <w:color w:val="000000" w:themeColor="text1"/>
          <w:szCs w:val="22"/>
        </w:rPr>
        <w:t>6</w:t>
      </w:r>
      <w:r w:rsidR="00E5193E" w:rsidRPr="00702C2C">
        <w:rPr>
          <w:rFonts w:cs="Arial"/>
          <w:color w:val="000000" w:themeColor="text1"/>
          <w:szCs w:val="22"/>
        </w:rPr>
        <w:tab/>
        <w:t xml:space="preserve">An approved energy pooling compliance mechanism may include ships of more than one Administration provided that the Administration of any ship participating in the pool has approved the energy pooling compliance mechanism and issued the ship with a PEICC. </w:t>
      </w:r>
    </w:p>
    <w:p w14:paraId="08C4FCE3" w14:textId="77777777" w:rsidR="00E5193E" w:rsidRPr="00702C2C" w:rsidRDefault="00E5193E" w:rsidP="00E5193E">
      <w:pPr>
        <w:rPr>
          <w:rFonts w:cs="Arial"/>
          <w:b/>
          <w:bCs/>
          <w:color w:val="000000" w:themeColor="text1"/>
          <w:szCs w:val="22"/>
        </w:rPr>
      </w:pPr>
    </w:p>
    <w:p w14:paraId="08263CD3" w14:textId="458F388C" w:rsidR="00E5193E" w:rsidRPr="00702C2C" w:rsidRDefault="00BA18A8" w:rsidP="00E5193E">
      <w:pPr>
        <w:rPr>
          <w:rFonts w:cs="Arial"/>
          <w:color w:val="000000" w:themeColor="text1"/>
          <w:szCs w:val="22"/>
        </w:rPr>
      </w:pPr>
      <w:r w:rsidRPr="00702C2C">
        <w:rPr>
          <w:rFonts w:cs="Arial"/>
          <w:color w:val="000000" w:themeColor="text1"/>
          <w:szCs w:val="22"/>
        </w:rPr>
        <w:t>7</w:t>
      </w:r>
      <w:r w:rsidR="00E5193E" w:rsidRPr="00702C2C">
        <w:rPr>
          <w:rFonts w:cs="Arial"/>
          <w:color w:val="000000" w:themeColor="text1"/>
          <w:szCs w:val="22"/>
        </w:rPr>
        <w:tab/>
        <w:t>Each Administration that allows the use of an energy pooling compliance mechanism as set forth in paragraph 1 of this regulation shall communicate to the Organization for circulation to the Parties particulars thereof, for their information and appropriate action, if any.</w:t>
      </w:r>
    </w:p>
    <w:p w14:paraId="3DF83282" w14:textId="77777777" w:rsidR="00E5193E" w:rsidRPr="00702C2C" w:rsidRDefault="00E5193E" w:rsidP="00E5193E">
      <w:pPr>
        <w:rPr>
          <w:rFonts w:cs="Arial"/>
          <w:color w:val="000000" w:themeColor="text1"/>
          <w:szCs w:val="22"/>
        </w:rPr>
      </w:pPr>
    </w:p>
    <w:p w14:paraId="75B6867B" w14:textId="77777777" w:rsidR="00E5193E" w:rsidRPr="00CF4C72" w:rsidRDefault="00E5193E" w:rsidP="00E5193E">
      <w:pPr>
        <w:keepNext/>
        <w:keepLines/>
        <w:rPr>
          <w:rFonts w:cs="Arial"/>
          <w:b/>
          <w:bCs/>
          <w:color w:val="000000" w:themeColor="text1"/>
          <w:szCs w:val="22"/>
        </w:rPr>
      </w:pPr>
      <w:r w:rsidRPr="00CF4C72">
        <w:rPr>
          <w:rFonts w:cs="Arial"/>
          <w:b/>
          <w:bCs/>
          <w:color w:val="000000" w:themeColor="text1"/>
          <w:szCs w:val="22"/>
        </w:rPr>
        <w:t>Regulation 4</w:t>
      </w:r>
      <w:r>
        <w:rPr>
          <w:rFonts w:cs="Arial"/>
          <w:b/>
          <w:bCs/>
          <w:color w:val="000000" w:themeColor="text1"/>
          <w:szCs w:val="22"/>
        </w:rPr>
        <w:t>2</w:t>
      </w:r>
    </w:p>
    <w:p w14:paraId="7652140B" w14:textId="77777777" w:rsidR="00E5193E" w:rsidRPr="00CF4C72" w:rsidRDefault="00E5193E" w:rsidP="00E5193E">
      <w:pPr>
        <w:keepNext/>
        <w:keepLines/>
        <w:rPr>
          <w:rFonts w:cs="Arial"/>
          <w:i/>
          <w:iCs/>
          <w:color w:val="000000" w:themeColor="text1"/>
          <w:szCs w:val="22"/>
        </w:rPr>
      </w:pPr>
      <w:r w:rsidRPr="00CF4C72">
        <w:rPr>
          <w:rFonts w:cs="Arial"/>
          <w:i/>
          <w:iCs/>
          <w:color w:val="000000" w:themeColor="text1"/>
          <w:szCs w:val="22"/>
        </w:rPr>
        <w:t>Review of this chapter</w:t>
      </w:r>
    </w:p>
    <w:p w14:paraId="45D7D179" w14:textId="77777777" w:rsidR="00E5193E" w:rsidRPr="00CF4C72" w:rsidRDefault="00E5193E" w:rsidP="00E5193E">
      <w:pPr>
        <w:keepNext/>
        <w:keepLines/>
        <w:rPr>
          <w:rFonts w:cs="Arial"/>
          <w:color w:val="000000" w:themeColor="text1"/>
          <w:szCs w:val="22"/>
        </w:rPr>
      </w:pPr>
    </w:p>
    <w:p w14:paraId="038BE2F5" w14:textId="77777777" w:rsidR="00E5193E" w:rsidRPr="00CF4C72" w:rsidRDefault="00E5193E" w:rsidP="00E5193E">
      <w:pPr>
        <w:keepNext/>
        <w:keepLines/>
        <w:rPr>
          <w:rFonts w:cs="Arial"/>
          <w:color w:val="000000" w:themeColor="text1"/>
          <w:szCs w:val="22"/>
        </w:rPr>
      </w:pPr>
      <w:r w:rsidRPr="00CF4C72">
        <w:rPr>
          <w:rFonts w:cs="Arial"/>
          <w:color w:val="000000" w:themeColor="text1"/>
          <w:szCs w:val="22"/>
        </w:rPr>
        <w:t xml:space="preserve">By [2033], and at five year periods thereafter, the Organization shall review the status of this chapter, including the cost and availability of fuel oil to meet the standard set out in regulation 40 of this Annex, and amend the relevant provisions if necessary. </w:t>
      </w:r>
    </w:p>
    <w:p w14:paraId="288E75DF" w14:textId="77777777" w:rsidR="00E5193E" w:rsidRPr="00CF4C72" w:rsidRDefault="00E5193E" w:rsidP="00E5193E">
      <w:pPr>
        <w:rPr>
          <w:rFonts w:cs="Arial"/>
          <w:color w:val="000000" w:themeColor="text1"/>
          <w:szCs w:val="22"/>
        </w:rPr>
      </w:pPr>
    </w:p>
    <w:p w14:paraId="7C4CAD92" w14:textId="77777777" w:rsidR="00E5193E" w:rsidRDefault="00E5193E" w:rsidP="00E5193E"/>
    <w:p w14:paraId="377BF827" w14:textId="77777777" w:rsidR="00BF7A77" w:rsidRPr="00CF4C72" w:rsidRDefault="00BF7A77" w:rsidP="00CF2460">
      <w:pPr>
        <w:rPr>
          <w:rFonts w:cs="Arial"/>
          <w:color w:val="000000" w:themeColor="text1"/>
          <w:szCs w:val="22"/>
        </w:rPr>
      </w:pPr>
    </w:p>
    <w:p w14:paraId="43176A47" w14:textId="2AD4A040" w:rsidR="00342D6D" w:rsidRPr="00CF4C72" w:rsidRDefault="00342D6D" w:rsidP="00235560">
      <w:pPr>
        <w:jc w:val="center"/>
        <w:rPr>
          <w:rFonts w:cs="Arial"/>
          <w:color w:val="000000" w:themeColor="text1"/>
          <w:szCs w:val="22"/>
        </w:rPr>
      </w:pPr>
      <w:r w:rsidRPr="00CF4C72">
        <w:rPr>
          <w:rFonts w:cs="Arial"/>
          <w:color w:val="000000" w:themeColor="text1"/>
          <w:szCs w:val="22"/>
        </w:rPr>
        <w:t>________</w:t>
      </w:r>
    </w:p>
    <w:p w14:paraId="0C1BC599" w14:textId="77777777" w:rsidR="00BF7A77" w:rsidRPr="00CF4C72" w:rsidRDefault="00BF7A77" w:rsidP="00235560">
      <w:pPr>
        <w:jc w:val="center"/>
        <w:rPr>
          <w:rFonts w:cs="Arial"/>
          <w:color w:val="000000" w:themeColor="text1"/>
          <w:szCs w:val="22"/>
        </w:rPr>
      </w:pPr>
    </w:p>
    <w:p w14:paraId="6BBA7DB9" w14:textId="77777777" w:rsidR="00342D6D" w:rsidRPr="00CF4C72" w:rsidRDefault="00342D6D" w:rsidP="00CF2460">
      <w:pPr>
        <w:tabs>
          <w:tab w:val="clear" w:pos="851"/>
        </w:tabs>
        <w:rPr>
          <w:color w:val="000000" w:themeColor="text1"/>
        </w:rPr>
      </w:pPr>
    </w:p>
    <w:sectPr w:rsidR="00342D6D" w:rsidRPr="00CF4C72" w:rsidSect="000A3ED8">
      <w:footnotePr>
        <w:numRestart w:val="eachSect"/>
      </w:footnotePr>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7512E" w14:textId="77777777" w:rsidR="00B05AC0" w:rsidRDefault="00B05AC0">
      <w:r>
        <w:separator/>
      </w:r>
    </w:p>
  </w:endnote>
  <w:endnote w:type="continuationSeparator" w:id="0">
    <w:p w14:paraId="7288BC41" w14:textId="77777777" w:rsidR="00B05AC0" w:rsidRDefault="00B05AC0">
      <w:r>
        <w:continuationSeparator/>
      </w:r>
    </w:p>
  </w:endnote>
  <w:endnote w:type="continuationNotice" w:id="1">
    <w:p w14:paraId="753D18E9" w14:textId="77777777" w:rsidR="00B05AC0" w:rsidRDefault="00B05A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6233" w14:textId="77777777" w:rsidR="00472A4A" w:rsidRDefault="00472A4A" w:rsidP="00736183">
    <w:pPr>
      <w:pStyle w:val="Footer"/>
    </w:pPr>
  </w:p>
  <w:p w14:paraId="2D77DD08" w14:textId="09E3F686" w:rsidR="00472A4A" w:rsidRPr="000D08F2" w:rsidRDefault="00472A4A" w:rsidP="00736183">
    <w:pPr>
      <w:pStyle w:val="Footer"/>
      <w:pBdr>
        <w:top w:val="single" w:sz="4" w:space="1" w:color="auto"/>
      </w:pBdr>
    </w:pPr>
    <w:r>
      <w:rPr>
        <w:lang w:val="en-US"/>
      </w:rPr>
      <w:t xml:space="preserve">ISWG-GHG </w:t>
    </w:r>
    <w:r w:rsidR="008213A1">
      <w:rPr>
        <w:lang w:val="en-US"/>
      </w:rPr>
      <w:t>16</w:t>
    </w:r>
    <w:r>
      <w:rPr>
        <w:lang w:val="en-US"/>
      </w:rPr>
      <w:t>/</w:t>
    </w:r>
    <w:r w:rsidR="008213A1">
      <w:rPr>
        <w:lang w:val="en-US"/>
      </w:rPr>
      <w:t>2</w:t>
    </w:r>
    <w:r>
      <w:rPr>
        <w:lang w:val="en-US"/>
      </w:rPr>
      <w:t>/XX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E794" w14:textId="77777777" w:rsidR="00472A4A" w:rsidRDefault="00472A4A" w:rsidP="00736183">
    <w:pPr>
      <w:pStyle w:val="Footer"/>
    </w:pPr>
  </w:p>
  <w:p w14:paraId="4F120BEE" w14:textId="10B9AEA7" w:rsidR="00472A4A" w:rsidRPr="000D08F2" w:rsidRDefault="00472A4A" w:rsidP="00736183">
    <w:pPr>
      <w:pStyle w:val="Footer"/>
      <w:pBdr>
        <w:top w:val="single" w:sz="4" w:space="1" w:color="auto"/>
      </w:pBdr>
    </w:pPr>
    <w:r>
      <w:rPr>
        <w:lang w:val="en-US"/>
      </w:rPr>
      <w:t xml:space="preserve">ISWG-GHG </w:t>
    </w:r>
    <w:r w:rsidR="008213A1">
      <w:rPr>
        <w:lang w:val="en-US"/>
      </w:rPr>
      <w:t>16</w:t>
    </w:r>
    <w:r>
      <w:rPr>
        <w:lang w:val="en-US"/>
      </w:rPr>
      <w:t>/</w:t>
    </w:r>
    <w:r w:rsidR="008213A1">
      <w:rPr>
        <w:lang w:val="en-US"/>
      </w:rPr>
      <w:t>2</w:t>
    </w:r>
    <w:r>
      <w:rPr>
        <w:lang w:val="en-US"/>
      </w:rPr>
      <w:t>/XX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B298" w14:textId="5BF6250A" w:rsidR="00472A4A" w:rsidRDefault="00472A4A" w:rsidP="005E1512">
    <w:pPr>
      <w:pStyle w:val="Footer"/>
    </w:pPr>
    <w:bookmarkStart w:id="12" w:name="_Hlk30152152"/>
  </w:p>
  <w:bookmarkEnd w:id="12"/>
  <w:p w14:paraId="60DBA409" w14:textId="66A5A803" w:rsidR="00472A4A" w:rsidRPr="000D08F2" w:rsidRDefault="00472A4A" w:rsidP="00133F1A">
    <w:pPr>
      <w:pStyle w:val="Footer"/>
      <w:pBdr>
        <w:top w:val="single" w:sz="4" w:space="1" w:color="auto"/>
      </w:pBdr>
    </w:pPr>
    <w:r>
      <w:rPr>
        <w:noProof/>
      </w:rPr>
      <w:drawing>
        <wp:anchor distT="0" distB="0" distL="114300" distR="114300" simplePos="0" relativeHeight="251658240" behindDoc="0" locked="0" layoutInCell="1" allowOverlap="1" wp14:anchorId="3BC8C111" wp14:editId="0BCB83FA">
          <wp:simplePos x="0" y="0"/>
          <wp:positionH relativeFrom="column">
            <wp:posOffset>4578432</wp:posOffset>
          </wp:positionH>
          <wp:positionV relativeFrom="paragraph">
            <wp:posOffset>73025</wp:posOffset>
          </wp:positionV>
          <wp:extent cx="1179226" cy="520608"/>
          <wp:effectExtent l="0" t="0" r="190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9226" cy="520608"/>
                  </a:xfrm>
                  <a:prstGeom prst="rect">
                    <a:avLst/>
                  </a:prstGeom>
                </pic:spPr>
              </pic:pic>
            </a:graphicData>
          </a:graphic>
          <wp14:sizeRelH relativeFrom="page">
            <wp14:pctWidth>0</wp14:pctWidth>
          </wp14:sizeRelH>
          <wp14:sizeRelV relativeFrom="page">
            <wp14:pctHeight>0</wp14:pctHeight>
          </wp14:sizeRelV>
        </wp:anchor>
      </w:drawing>
    </w:r>
    <w:r>
      <w:rPr>
        <w:lang w:val="en-US"/>
      </w:rPr>
      <w:t>ISWG-GHG 1</w:t>
    </w:r>
    <w:r w:rsidR="00F457B2">
      <w:rPr>
        <w:lang w:val="en-US"/>
      </w:rPr>
      <w:t>6</w:t>
    </w:r>
    <w:r>
      <w:rPr>
        <w:lang w:val="en-US"/>
      </w:rPr>
      <w:t>/</w:t>
    </w:r>
    <w:r w:rsidR="00F457B2">
      <w:rPr>
        <w:lang w:val="en-US"/>
      </w:rPr>
      <w:t>2</w:t>
    </w:r>
    <w:r>
      <w:rPr>
        <w:lang w:val="en-US"/>
      </w:rPr>
      <w:t>/XX</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A49F" w14:textId="0A6729FA" w:rsidR="00472A4A" w:rsidRDefault="00472A4A" w:rsidP="00342D6D">
    <w:pPr>
      <w:pStyle w:val="Footer"/>
      <w:pBdr>
        <w:top w:val="single" w:sz="4" w:space="1" w:color="auto"/>
      </w:pBdr>
    </w:pPr>
    <w:r>
      <w:t>ISWG-GHG 1</w:t>
    </w:r>
    <w:r w:rsidR="00F457B2">
      <w:t>6</w:t>
    </w:r>
    <w:r>
      <w:t>/</w:t>
    </w:r>
    <w:r w:rsidR="00F457B2">
      <w:t>2</w:t>
    </w:r>
    <w:r>
      <w:t>/XX</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600B" w14:textId="34731428" w:rsidR="00472A4A" w:rsidRDefault="00472A4A" w:rsidP="00342D6D">
    <w:pPr>
      <w:pStyle w:val="Footer"/>
      <w:pBdr>
        <w:top w:val="single" w:sz="4" w:space="1" w:color="auto"/>
      </w:pBdr>
    </w:pPr>
    <w:r>
      <w:t>ISWG-GHG 1</w:t>
    </w:r>
    <w:r w:rsidR="00F457B2">
      <w:t>6</w:t>
    </w:r>
    <w:r>
      <w:t>/</w:t>
    </w:r>
    <w:r w:rsidR="00F457B2">
      <w:t>2</w:t>
    </w:r>
    <w:r>
      <w:t>/XX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CBC26" w14:textId="77777777" w:rsidR="00B05AC0" w:rsidRDefault="00B05AC0">
      <w:r>
        <w:separator/>
      </w:r>
    </w:p>
  </w:footnote>
  <w:footnote w:type="continuationSeparator" w:id="0">
    <w:p w14:paraId="40D62F5A" w14:textId="77777777" w:rsidR="00B05AC0" w:rsidRDefault="00B05AC0">
      <w:r>
        <w:continuationSeparator/>
      </w:r>
    </w:p>
  </w:footnote>
  <w:footnote w:type="continuationNotice" w:id="1">
    <w:p w14:paraId="7554A9F3" w14:textId="77777777" w:rsidR="00B05AC0" w:rsidRDefault="00B05AC0"/>
  </w:footnote>
  <w:footnote w:id="2">
    <w:p w14:paraId="52CA77F6" w14:textId="69F5CF3D" w:rsidR="008941CC" w:rsidRDefault="008941CC">
      <w:pPr>
        <w:pStyle w:val="FootnoteText"/>
      </w:pPr>
      <w:r>
        <w:rPr>
          <w:rStyle w:val="FootnoteReference"/>
        </w:rPr>
        <w:footnoteRef/>
      </w:r>
      <w:r>
        <w:t xml:space="preserve"> </w:t>
      </w:r>
      <w:r w:rsidR="000F3FD8">
        <w:tab/>
        <w:t>i</w:t>
      </w:r>
      <w:r w:rsidR="000C0474">
        <w:t>.e. biofuel, comprising biogas, manufactured from residues and waste sustainable biomass, seed oil from tree species that do not compete for food and fodder, and certified as a sustainable fuel as per recognized international standard such as International Sustainability and Carbon Certification Scheme (ISSC) or the Roundtable on Sustainable Biomaterials Scheme (RSB)</w:t>
      </w:r>
      <w:r w:rsidR="00AA5E00">
        <w:t>.</w:t>
      </w:r>
    </w:p>
  </w:footnote>
  <w:footnote w:id="3">
    <w:p w14:paraId="58BBE8E1" w14:textId="66B0365B" w:rsidR="000F3FD8" w:rsidRDefault="000F3FD8">
      <w:pPr>
        <w:pStyle w:val="FootnoteText"/>
      </w:pPr>
      <w:r>
        <w:rPr>
          <w:rStyle w:val="FootnoteReference"/>
        </w:rPr>
        <w:footnoteRef/>
      </w:r>
      <w:r>
        <w:t xml:space="preserve"> </w:t>
      </w:r>
      <w:r w:rsidR="004D5CAF">
        <w:t>Subject to amendment of appendix V of MARPOL Annex VI.</w:t>
      </w:r>
    </w:p>
  </w:footnote>
  <w:footnote w:id="4">
    <w:p w14:paraId="24ABB7C5" w14:textId="77777777" w:rsidR="00E5193E" w:rsidRDefault="00E5193E" w:rsidP="00E5193E">
      <w:pPr>
        <w:pStyle w:val="FootnoteText"/>
      </w:pPr>
      <w:r>
        <w:rPr>
          <w:rStyle w:val="FootnoteReference"/>
        </w:rPr>
        <w:footnoteRef/>
      </w:r>
      <w:r>
        <w:t xml:space="preserve"> </w:t>
      </w:r>
      <w:r>
        <w:tab/>
        <w:t>GFI reference value to be calculated on approval of the draft amendments and corresponds to the fleet average greenhouse gas (gCO</w:t>
      </w:r>
      <w:r w:rsidRPr="00CB0CCA">
        <w:rPr>
          <w:vertAlign w:val="subscript"/>
        </w:rPr>
        <w:t>2e</w:t>
      </w:r>
      <w:r>
        <w:t>/MJ) intensity of the energy used on-board by ships in [2019] determined on the basis of fuel oil consumption data collected and reported pursuant to regulation 27 of MARPOL Annex VI and using guidelines to be developed by the Organization.</w:t>
      </w:r>
    </w:p>
  </w:footnote>
  <w:footnote w:id="5">
    <w:p w14:paraId="6AB5D29C" w14:textId="46887E64" w:rsidR="00E5193E" w:rsidRDefault="00E5193E" w:rsidP="00E5193E">
      <w:pPr>
        <w:pStyle w:val="FootnoteText"/>
      </w:pPr>
      <w:r>
        <w:rPr>
          <w:rStyle w:val="FootnoteReference"/>
        </w:rPr>
        <w:footnoteRef/>
      </w:r>
      <w:r>
        <w:t xml:space="preserve"> </w:t>
      </w:r>
      <w:r>
        <w:tab/>
        <w:t xml:space="preserve">GFI given </w:t>
      </w:r>
      <w:r>
        <w:rPr>
          <w:rFonts w:cs="Arial"/>
          <w:color w:val="000000" w:themeColor="text1"/>
          <w:szCs w:val="22"/>
        </w:rPr>
        <w:t>in terms of the mass of GHG emissions per unit of energy used on board the ship</w:t>
      </w:r>
      <w:r>
        <w:t xml:space="preserve"> based on the Guidelines on Life Cycle GHG Intensity of Marine Fuels (LCA guidelines) MEPC.376(80).</w:t>
      </w:r>
    </w:p>
  </w:footnote>
  <w:footnote w:id="6">
    <w:p w14:paraId="5C5DA6E7" w14:textId="77777777" w:rsidR="00E5193E" w:rsidRDefault="00E5193E" w:rsidP="00E5193E">
      <w:pPr>
        <w:pStyle w:val="FootnoteText"/>
      </w:pPr>
      <w:r>
        <w:rPr>
          <w:rStyle w:val="FootnoteReference"/>
        </w:rPr>
        <w:footnoteRef/>
      </w:r>
      <w:r>
        <w:t xml:space="preserve"> </w:t>
      </w:r>
      <w:r>
        <w:tab/>
        <w:t>As per the requirements of regulation 14.1 of MARPOL Annex VI, the GHG Fuel Intensity (GFI) of fuel supplied to the ship to be recorded on a Bunker Delivery Note, with consequential amendments required to the provisions of regulations 18.4 and 18.5 of MARPOL Annex VI.</w:t>
      </w:r>
    </w:p>
  </w:footnote>
  <w:footnote w:id="7">
    <w:p w14:paraId="0FD8CBE8" w14:textId="057C8836" w:rsidR="00E5193E" w:rsidRDefault="00E5193E" w:rsidP="00E5193E">
      <w:pPr>
        <w:pStyle w:val="FootnoteText"/>
      </w:pPr>
      <w:r>
        <w:rPr>
          <w:rStyle w:val="FootnoteReference"/>
        </w:rPr>
        <w:footnoteRef/>
      </w:r>
      <w:r>
        <w:t xml:space="preserve"> </w:t>
      </w:r>
      <w:r>
        <w:tab/>
        <w:t>Pursuant to regulation 4 of MARPOL Annex VI, compliance with the GHG Fuel Intensity (GFI) could be achieved through an equivalent means such as carbon capture and storage</w:t>
      </w:r>
      <w:r w:rsidR="00B53C69">
        <w:t xml:space="preserve"> </w:t>
      </w:r>
      <w:r w:rsidR="00D72288" w:rsidRPr="00702C2C">
        <w:rPr>
          <w:color w:val="000000" w:themeColor="text1"/>
        </w:rPr>
        <w:t>and</w:t>
      </w:r>
      <w:r w:rsidR="00B53C69" w:rsidRPr="00702C2C">
        <w:rPr>
          <w:color w:val="000000" w:themeColor="text1"/>
        </w:rPr>
        <w:t xml:space="preserve"> other technologies</w:t>
      </w:r>
      <w:r w:rsidR="00C33982" w:rsidRPr="00702C2C">
        <w:rPr>
          <w:color w:val="000000" w:themeColor="text1"/>
        </w:rPr>
        <w:t>.</w:t>
      </w:r>
    </w:p>
  </w:footnote>
  <w:footnote w:id="8">
    <w:p w14:paraId="1D990367" w14:textId="0519A41A" w:rsidR="00AC2F39" w:rsidRPr="00744CBC" w:rsidRDefault="00AC2F39" w:rsidP="00744CBC">
      <w:pPr>
        <w:ind w:left="567" w:hanging="567"/>
        <w:rPr>
          <w:rFonts w:ascii="Calibri" w:hAnsi="Calibri"/>
          <w:sz w:val="18"/>
          <w:szCs w:val="18"/>
        </w:rPr>
      </w:pPr>
      <w:r>
        <w:rPr>
          <w:rStyle w:val="FootnoteReference"/>
        </w:rPr>
        <w:footnoteRef/>
      </w:r>
      <w:r>
        <w:t xml:space="preserve"> </w:t>
      </w:r>
      <w:r>
        <w:tab/>
      </w:r>
      <w:r w:rsidRPr="00CB1BB1">
        <w:rPr>
          <w:sz w:val="18"/>
          <w:szCs w:val="18"/>
        </w:rPr>
        <w:t xml:space="preserve">A new definition for “fuel oil” was approved by MEPC 80, for adoption at MEPC 81. to take into account </w:t>
      </w:r>
      <w:r>
        <w:rPr>
          <w:sz w:val="18"/>
          <w:szCs w:val="18"/>
        </w:rPr>
        <w:t xml:space="preserve"> </w:t>
      </w:r>
      <w:r w:rsidRPr="00CB1BB1">
        <w:rPr>
          <w:sz w:val="18"/>
          <w:szCs w:val="18"/>
        </w:rPr>
        <w:t>the use of alternative fuel</w:t>
      </w:r>
      <w:r>
        <w:rPr>
          <w:sz w:val="18"/>
          <w:szCs w:val="18"/>
        </w:rPr>
        <w:t>s</w:t>
      </w:r>
      <w:r w:rsidRPr="00CB1BB1">
        <w:rPr>
          <w:sz w:val="18"/>
          <w:szCs w:val="18"/>
        </w:rPr>
        <w:t>: “</w:t>
      </w:r>
      <w:r w:rsidRPr="00CB1BB1">
        <w:rPr>
          <w:i/>
          <w:iCs/>
          <w:sz w:val="18"/>
          <w:szCs w:val="18"/>
        </w:rPr>
        <w:t xml:space="preserve">Fuel oil </w:t>
      </w:r>
      <w:r w:rsidRPr="00CB1BB1">
        <w:rPr>
          <w:sz w:val="18"/>
          <w:szCs w:val="18"/>
        </w:rPr>
        <w:t xml:space="preserve">means any fuel delivered to and intended for use on board a ship.” </w:t>
      </w:r>
    </w:p>
  </w:footnote>
  <w:footnote w:id="9">
    <w:p w14:paraId="0B132A8C" w14:textId="77777777" w:rsidR="00E5193E" w:rsidRDefault="00E5193E" w:rsidP="00E5193E">
      <w:pPr>
        <w:pStyle w:val="FootnoteText"/>
      </w:pPr>
      <w:r>
        <w:rPr>
          <w:rStyle w:val="FootnoteReference"/>
        </w:rPr>
        <w:footnoteRef/>
      </w:r>
      <w:r>
        <w:t xml:space="preserve"> </w:t>
      </w:r>
      <w:r>
        <w:tab/>
        <w:t xml:space="preserve">Guidelines to be developed based on </w:t>
      </w:r>
      <w:r w:rsidRPr="002F0D59">
        <w:t xml:space="preserve">resolution MEPC. 320(74) </w:t>
      </w:r>
      <w:r w:rsidRPr="005B60B4">
        <w:rPr>
          <w:i/>
          <w:iCs/>
        </w:rPr>
        <w:t>2019 Guidelines for consistent implementation of the 0.50% sulphur limit under MARPOL Annex VI</w:t>
      </w:r>
      <w:r>
        <w:t xml:space="preserve"> including </w:t>
      </w:r>
      <w:r w:rsidRPr="002F0D59">
        <w:t>pro-forma FONAR</w:t>
      </w:r>
      <w:r>
        <w:t>.</w:t>
      </w:r>
    </w:p>
  </w:footnote>
  <w:footnote w:id="10">
    <w:p w14:paraId="7953F73A" w14:textId="77777777" w:rsidR="00E5193E" w:rsidRDefault="00E5193E" w:rsidP="00E5193E">
      <w:pPr>
        <w:pStyle w:val="FootnoteText"/>
      </w:pPr>
      <w:r>
        <w:rPr>
          <w:rStyle w:val="FootnoteReference"/>
        </w:rPr>
        <w:footnoteRef/>
      </w:r>
      <w:r>
        <w:t xml:space="preserve"> </w:t>
      </w:r>
      <w:r>
        <w:tab/>
        <w:t>Energy pooling compliance mechanism guidelines for Administrations to be developed which could be a standalone set of guidelines or incorporated in the SEEMP Guidelines.</w:t>
      </w:r>
    </w:p>
  </w:footnote>
  <w:footnote w:id="11">
    <w:p w14:paraId="25405905" w14:textId="77777777" w:rsidR="00E5193E" w:rsidRDefault="00E5193E" w:rsidP="00E5193E">
      <w:pPr>
        <w:pStyle w:val="FootnoteText"/>
      </w:pPr>
      <w:r>
        <w:rPr>
          <w:rStyle w:val="FootnoteReference"/>
        </w:rPr>
        <w:footnoteRef/>
      </w:r>
      <w:r>
        <w:t xml:space="preserve"> </w:t>
      </w:r>
      <w:r>
        <w:tab/>
        <w:t>Form of the Pooled Energy Intensity Compliance Certificate (PEICC) to be developed.</w:t>
      </w:r>
    </w:p>
  </w:footnote>
  <w:footnote w:id="12">
    <w:p w14:paraId="30A3CC7D" w14:textId="77777777" w:rsidR="00E5193E" w:rsidRDefault="00E5193E" w:rsidP="00E5193E">
      <w:pPr>
        <w:pStyle w:val="FootnoteText"/>
      </w:pPr>
      <w:r>
        <w:rPr>
          <w:rStyle w:val="FootnoteReference"/>
        </w:rPr>
        <w:footnoteRef/>
      </w:r>
      <w:r>
        <w:t xml:space="preserve"> </w:t>
      </w:r>
      <w:r>
        <w:tab/>
        <w:t>Energy pooling compliance mechanism guidelines for ships to be developed which could be a standalone set of guidelines or incorporated in the SEEMP Guidelines.</w:t>
      </w:r>
    </w:p>
  </w:footnote>
  <w:footnote w:id="13">
    <w:p w14:paraId="5D18F49A" w14:textId="7D658E01" w:rsidR="00B9304B" w:rsidRPr="00702C2C" w:rsidRDefault="00B9304B">
      <w:pPr>
        <w:pStyle w:val="FootnoteText"/>
        <w:rPr>
          <w:color w:val="000000" w:themeColor="text1"/>
        </w:rPr>
      </w:pPr>
      <w:r w:rsidRPr="00702C2C">
        <w:rPr>
          <w:rStyle w:val="FootnoteReference"/>
          <w:color w:val="000000" w:themeColor="text1"/>
        </w:rPr>
        <w:footnoteRef/>
      </w:r>
      <w:r w:rsidRPr="00702C2C">
        <w:rPr>
          <w:color w:val="000000" w:themeColor="text1"/>
        </w:rPr>
        <w:t xml:space="preserve"> </w:t>
      </w:r>
      <w:r w:rsidRPr="00702C2C">
        <w:rPr>
          <w:color w:val="000000" w:themeColor="text1"/>
        </w:rPr>
        <w:tab/>
        <w:t>The provision set out in sub-paragraph 41.2 may be more appropriately included in guidelines.</w:t>
      </w:r>
    </w:p>
  </w:footnote>
  <w:footnote w:id="14">
    <w:p w14:paraId="16E8AFAE" w14:textId="5F20E68A" w:rsidR="00E5193E" w:rsidRPr="00702C2C" w:rsidRDefault="00E5193E" w:rsidP="00E5193E">
      <w:pPr>
        <w:pStyle w:val="FootnoteText"/>
        <w:rPr>
          <w:color w:val="000000" w:themeColor="text1"/>
        </w:rPr>
      </w:pPr>
      <w:r w:rsidRPr="00702C2C">
        <w:rPr>
          <w:rStyle w:val="FootnoteReference"/>
          <w:color w:val="000000" w:themeColor="text1"/>
        </w:rPr>
        <w:footnoteRef/>
      </w:r>
      <w:r w:rsidRPr="00702C2C">
        <w:rPr>
          <w:color w:val="000000" w:themeColor="text1"/>
        </w:rPr>
        <w:t xml:space="preserve"> </w:t>
      </w:r>
      <w:r w:rsidRPr="00702C2C">
        <w:rPr>
          <w:color w:val="000000" w:themeColor="text1"/>
        </w:rPr>
        <w:tab/>
        <w:t xml:space="preserve">This provision to be </w:t>
      </w:r>
      <w:r w:rsidR="00A95860" w:rsidRPr="00702C2C">
        <w:rPr>
          <w:color w:val="000000" w:themeColor="text1"/>
        </w:rPr>
        <w:t>expanded on</w:t>
      </w:r>
      <w:r w:rsidRPr="00702C2C">
        <w:rPr>
          <w:color w:val="000000" w:themeColor="text1"/>
        </w:rPr>
        <w:t xml:space="preserve"> in the guidelines for Administrations.</w:t>
      </w:r>
    </w:p>
  </w:footnote>
  <w:footnote w:id="15">
    <w:p w14:paraId="023046C6" w14:textId="3C05A7BC" w:rsidR="00B9304B" w:rsidRPr="002C05C4" w:rsidRDefault="00B9304B">
      <w:pPr>
        <w:pStyle w:val="FootnoteText"/>
        <w:rPr>
          <w:color w:val="FF0000"/>
        </w:rPr>
      </w:pPr>
      <w:r w:rsidRPr="00702C2C">
        <w:rPr>
          <w:rStyle w:val="FootnoteReference"/>
          <w:color w:val="000000" w:themeColor="text1"/>
        </w:rPr>
        <w:footnoteRef/>
      </w:r>
      <w:r w:rsidRPr="00702C2C">
        <w:rPr>
          <w:color w:val="000000" w:themeColor="text1"/>
        </w:rPr>
        <w:t xml:space="preserve"> </w:t>
      </w:r>
      <w:r w:rsidRPr="00702C2C">
        <w:rPr>
          <w:color w:val="000000" w:themeColor="text1"/>
        </w:rPr>
        <w:tab/>
        <w:t>The provision set out in sub-paragraph 41.3 may be more appropriately included in guidelines.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06EC" w14:textId="29513300" w:rsidR="00472A4A" w:rsidRDefault="00472A4A">
    <w:pPr>
      <w:pStyle w:val="Header"/>
    </w:pPr>
    <w:r>
      <w:t>ISWG-GHG 1</w:t>
    </w:r>
    <w:r w:rsidR="00F457B2">
      <w:t>6</w:t>
    </w:r>
    <w:r>
      <w:t>/</w:t>
    </w:r>
    <w:r w:rsidR="00F457B2">
      <w:t>2</w:t>
    </w:r>
    <w:r>
      <w:t>/XX</w:t>
    </w:r>
  </w:p>
  <w:p w14:paraId="78A75682" w14:textId="686FE3A9" w:rsidR="00472A4A" w:rsidRDefault="00472A4A">
    <w:pPr>
      <w:pStyle w:val="Header"/>
      <w:pBdr>
        <w:bottom w:val="single" w:sz="4" w:space="1" w:color="auto"/>
      </w:pBd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46AEC412" w14:textId="77777777" w:rsidR="00472A4A" w:rsidRDefault="00472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51846" w14:textId="77777777" w:rsidR="00472A4A" w:rsidRDefault="00472A4A">
    <w:pPr>
      <w:pStyle w:val="Header"/>
      <w:jc w:val="right"/>
    </w:pPr>
  </w:p>
  <w:p w14:paraId="1D4145DA" w14:textId="0251E3E5" w:rsidR="00472A4A" w:rsidRDefault="00472A4A">
    <w:pPr>
      <w:pStyle w:val="Header"/>
      <w:pBdr>
        <w:bottom w:val="single" w:sz="4" w:space="1" w:color="auto"/>
      </w:pBdr>
      <w:jc w:val="right"/>
    </w:pPr>
    <w:r>
      <w:t>ISWG-GHG 1</w:t>
    </w:r>
    <w:r w:rsidR="00F457B2">
      <w:t>6</w:t>
    </w:r>
    <w:r>
      <w:t>/</w:t>
    </w:r>
    <w:r w:rsidR="00F457B2">
      <w:t>2</w:t>
    </w:r>
    <w:r>
      <w:t>/XX</w:t>
    </w:r>
  </w:p>
  <w:p w14:paraId="5890F56B" w14:textId="62E3BC5A" w:rsidR="00472A4A" w:rsidRDefault="00472A4A">
    <w:pPr>
      <w:pStyle w:val="Header"/>
      <w:pBdr>
        <w:bottom w:val="single" w:sz="4" w:space="1" w:color="auto"/>
      </w:pBdr>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4C23E85B" w14:textId="77777777" w:rsidR="00472A4A" w:rsidRDefault="00472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5808" w14:textId="794C3B6D" w:rsidR="0039023D" w:rsidRPr="009F7AB3" w:rsidRDefault="0039023D" w:rsidP="0039023D">
    <w:pPr>
      <w:pStyle w:val="Header"/>
      <w:pBdr>
        <w:bottom w:val="single" w:sz="4" w:space="1" w:color="auto"/>
      </w:pBdr>
      <w:jc w:val="right"/>
      <w:rPr>
        <w:lang w:val="fr-FR"/>
      </w:rPr>
    </w:pPr>
    <w:r w:rsidRPr="009F7AB3">
      <w:rPr>
        <w:lang w:val="fr-FR"/>
      </w:rPr>
      <w:t>ISWG-GHG 1</w:t>
    </w:r>
    <w:r w:rsidR="00F457B2">
      <w:rPr>
        <w:lang w:val="fr-FR"/>
      </w:rPr>
      <w:t>6</w:t>
    </w:r>
    <w:r w:rsidRPr="009F7AB3">
      <w:rPr>
        <w:lang w:val="fr-FR"/>
      </w:rPr>
      <w:t>/</w:t>
    </w:r>
    <w:r w:rsidR="00F457B2">
      <w:rPr>
        <w:lang w:val="fr-FR"/>
      </w:rPr>
      <w:t>2</w:t>
    </w:r>
    <w:r w:rsidRPr="009F7AB3">
      <w:rPr>
        <w:lang w:val="fr-FR"/>
      </w:rPr>
      <w:t>/X</w:t>
    </w:r>
  </w:p>
  <w:p w14:paraId="65746C57" w14:textId="6C8873D2" w:rsidR="00472A4A" w:rsidRPr="009F7AB3" w:rsidRDefault="0039023D" w:rsidP="0039023D">
    <w:pPr>
      <w:pStyle w:val="Header"/>
      <w:pBdr>
        <w:bottom w:val="single" w:sz="4" w:space="1" w:color="auto"/>
      </w:pBdr>
      <w:jc w:val="right"/>
      <w:rPr>
        <w:rStyle w:val="PageNumber"/>
        <w:lang w:val="fr-FR"/>
      </w:rPr>
    </w:pPr>
    <w:r w:rsidRPr="009F7AB3">
      <w:rPr>
        <w:lang w:val="fr-FR"/>
      </w:rPr>
      <w:t>Annex, p</w:t>
    </w:r>
    <w:r w:rsidR="00472A4A" w:rsidRPr="009F7AB3">
      <w:rPr>
        <w:lang w:val="fr-FR"/>
      </w:rPr>
      <w:t xml:space="preserve">age </w:t>
    </w:r>
    <w:r w:rsidR="006E4421" w:rsidRPr="009F7AB3">
      <w:rPr>
        <w:rStyle w:val="PageNumber"/>
        <w:lang w:val="fr-FR"/>
      </w:rPr>
      <w:t>2</w:t>
    </w:r>
  </w:p>
  <w:p w14:paraId="3E6D212C" w14:textId="77777777" w:rsidR="00472A4A" w:rsidRPr="009F7AB3" w:rsidRDefault="00472A4A">
    <w:pPr>
      <w:pStyle w:val="Header"/>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8A6A" w14:textId="4CBC4918" w:rsidR="00472A4A" w:rsidRDefault="00472A4A" w:rsidP="00D91A81">
    <w:pPr>
      <w:pStyle w:val="Header"/>
      <w:tabs>
        <w:tab w:val="clear" w:pos="851"/>
        <w:tab w:val="clear" w:pos="4153"/>
        <w:tab w:val="clear" w:pos="8306"/>
        <w:tab w:val="left" w:pos="7421"/>
      </w:tabs>
      <w:jc w:val="left"/>
    </w:pPr>
    <w:r>
      <w:t>Annex</w:t>
    </w:r>
  </w:p>
  <w:p w14:paraId="7F83BFC6" w14:textId="563B8FA0" w:rsidR="00472A4A" w:rsidRDefault="00472A4A" w:rsidP="00342D6D">
    <w:pPr>
      <w:pStyle w:val="Header"/>
      <w:pBdr>
        <w:bottom w:val="single" w:sz="4" w:space="1" w:color="auto"/>
      </w:pBdr>
      <w:jc w:val="left"/>
    </w:pPr>
    <w:r>
      <w:t>Page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D1C9" w14:textId="07A7FA34" w:rsidR="001F5EA2" w:rsidRPr="009F7AB3" w:rsidRDefault="00CD7583" w:rsidP="00635854">
    <w:pPr>
      <w:pStyle w:val="Header"/>
      <w:tabs>
        <w:tab w:val="clear" w:pos="851"/>
        <w:tab w:val="clear" w:pos="4153"/>
        <w:tab w:val="clear" w:pos="8306"/>
        <w:tab w:val="left" w:pos="7421"/>
      </w:tabs>
      <w:jc w:val="left"/>
      <w:rPr>
        <w:lang w:val="fr-FR"/>
      </w:rPr>
    </w:pPr>
    <w:r w:rsidRPr="009F7AB3">
      <w:rPr>
        <w:lang w:val="fr-FR"/>
      </w:rPr>
      <w:t>ISWG-GHG 1</w:t>
    </w:r>
    <w:r w:rsidR="00F457B2">
      <w:rPr>
        <w:lang w:val="fr-FR"/>
      </w:rPr>
      <w:t>6</w:t>
    </w:r>
    <w:r w:rsidRPr="009F7AB3">
      <w:rPr>
        <w:lang w:val="fr-FR"/>
      </w:rPr>
      <w:t>/</w:t>
    </w:r>
    <w:r w:rsidR="00F457B2">
      <w:rPr>
        <w:lang w:val="fr-FR"/>
      </w:rPr>
      <w:t>2</w:t>
    </w:r>
    <w:r w:rsidRPr="009F7AB3">
      <w:rPr>
        <w:lang w:val="fr-FR"/>
      </w:rPr>
      <w:t>/X</w:t>
    </w:r>
  </w:p>
  <w:p w14:paraId="723BCF14" w14:textId="25C85A10" w:rsidR="001F5EA2" w:rsidRPr="009F7AB3" w:rsidRDefault="00CD7583" w:rsidP="00635854">
    <w:pPr>
      <w:pStyle w:val="Header"/>
      <w:pBdr>
        <w:bottom w:val="single" w:sz="4" w:space="1" w:color="auto"/>
      </w:pBdr>
      <w:jc w:val="left"/>
      <w:rPr>
        <w:lang w:val="fr-FR"/>
      </w:rPr>
    </w:pPr>
    <w:r w:rsidRPr="009F7AB3">
      <w:rPr>
        <w:lang w:val="fr-FR"/>
      </w:rPr>
      <w:t xml:space="preserve">Annex, </w:t>
    </w:r>
    <w:r w:rsidR="0039023D" w:rsidRPr="009F7AB3">
      <w:rPr>
        <w:lang w:val="fr-FR"/>
      </w:rPr>
      <w:t>p</w:t>
    </w:r>
    <w:r w:rsidR="001F5EA2" w:rsidRPr="009F7AB3">
      <w:rPr>
        <w:lang w:val="fr-FR"/>
      </w:rPr>
      <w:t xml:space="preserve">age </w:t>
    </w:r>
    <w:r w:rsidRPr="009F7AB3">
      <w:rPr>
        <w:lang w:val="fr-FR"/>
      </w:rPr>
      <w:t>1</w:t>
    </w:r>
  </w:p>
  <w:p w14:paraId="7B8421E8" w14:textId="77777777" w:rsidR="001F5EA2" w:rsidRPr="009F7AB3" w:rsidRDefault="001F5EA2">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687238"/>
    <w:multiLevelType w:val="hybridMultilevel"/>
    <w:tmpl w:val="DFEEA589"/>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FD10D3EA"/>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306E52B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AE88AD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B104732"/>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CF288B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90D8425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A6AEB1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160468"/>
    <w:multiLevelType w:val="hybridMultilevel"/>
    <w:tmpl w:val="8EB88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19379B"/>
    <w:multiLevelType w:val="hybridMultilevel"/>
    <w:tmpl w:val="30E87CC2"/>
    <w:lvl w:ilvl="0" w:tplc="435A2B9A">
      <w:start w:val="1"/>
      <w:numFmt w:val="decimal"/>
      <w:lvlText w:val="%1"/>
      <w:lvlJc w:val="left"/>
      <w:pPr>
        <w:ind w:left="1220" w:hanging="8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B57B78"/>
    <w:multiLevelType w:val="hybridMultilevel"/>
    <w:tmpl w:val="CE9A6108"/>
    <w:lvl w:ilvl="0" w:tplc="ACA8183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18C3340B"/>
    <w:multiLevelType w:val="hybridMultilevel"/>
    <w:tmpl w:val="70E6AED6"/>
    <w:lvl w:ilvl="0" w:tplc="F7D8B89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80462DB"/>
    <w:multiLevelType w:val="hybridMultilevel"/>
    <w:tmpl w:val="1E830A68"/>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A093529"/>
    <w:multiLevelType w:val="hybridMultilevel"/>
    <w:tmpl w:val="7C76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1A1BF5"/>
    <w:multiLevelType w:val="hybridMultilevel"/>
    <w:tmpl w:val="5906B108"/>
    <w:lvl w:ilvl="0" w:tplc="F110B9D2">
      <w:start w:val="1"/>
      <w:numFmt w:val="lowerLetter"/>
      <w:lvlText w:val="%1."/>
      <w:lvlJc w:val="left"/>
      <w:pPr>
        <w:ind w:left="1691" w:hanging="84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444B3E0D"/>
    <w:multiLevelType w:val="hybridMultilevel"/>
    <w:tmpl w:val="38D47C00"/>
    <w:lvl w:ilvl="0" w:tplc="52DC4520">
      <w:start w:val="4"/>
      <w:numFmt w:val="bullet"/>
      <w:lvlText w:val="-"/>
      <w:lvlJc w:val="left"/>
      <w:pPr>
        <w:ind w:left="2061" w:hanging="360"/>
      </w:pPr>
      <w:rPr>
        <w:rFonts w:ascii="Arial" w:eastAsia="MS Gothic" w:hAnsi="Arial"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6" w15:restartNumberingAfterBreak="0">
    <w:nsid w:val="52AA0504"/>
    <w:multiLevelType w:val="hybridMultilevel"/>
    <w:tmpl w:val="C864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6A0740"/>
    <w:multiLevelType w:val="hybridMultilevel"/>
    <w:tmpl w:val="BD528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C2153E"/>
    <w:multiLevelType w:val="hybridMultilevel"/>
    <w:tmpl w:val="2284741C"/>
    <w:lvl w:ilvl="0" w:tplc="44805D56">
      <w:start w:val="7"/>
      <w:numFmt w:val="bullet"/>
      <w:lvlText w:val="•"/>
      <w:lvlJc w:val="left"/>
      <w:pPr>
        <w:ind w:left="1211" w:hanging="360"/>
      </w:pPr>
      <w:rPr>
        <w:rFonts w:ascii="Arial" w:eastAsia="MS Gothic"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9" w15:restartNumberingAfterBreak="0">
    <w:nsid w:val="6A6F1F31"/>
    <w:multiLevelType w:val="hybridMultilevel"/>
    <w:tmpl w:val="8F98740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19C486B"/>
    <w:multiLevelType w:val="hybridMultilevel"/>
    <w:tmpl w:val="FB64EB0E"/>
    <w:lvl w:ilvl="0" w:tplc="44805D56">
      <w:start w:val="7"/>
      <w:numFmt w:val="bullet"/>
      <w:lvlText w:val="•"/>
      <w:lvlJc w:val="left"/>
      <w:pPr>
        <w:ind w:left="1211" w:hanging="360"/>
      </w:pPr>
      <w:rPr>
        <w:rFonts w:ascii="Arial" w:eastAsia="MS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4890593">
    <w:abstractNumId w:val="7"/>
  </w:num>
  <w:num w:numId="2" w16cid:durableId="1905867704">
    <w:abstractNumId w:val="5"/>
  </w:num>
  <w:num w:numId="3" w16cid:durableId="295649634">
    <w:abstractNumId w:val="4"/>
  </w:num>
  <w:num w:numId="4" w16cid:durableId="266894578">
    <w:abstractNumId w:val="3"/>
  </w:num>
  <w:num w:numId="5" w16cid:durableId="133646516">
    <w:abstractNumId w:val="2"/>
  </w:num>
  <w:num w:numId="6" w16cid:durableId="1499880620">
    <w:abstractNumId w:val="6"/>
  </w:num>
  <w:num w:numId="7" w16cid:durableId="1178812021">
    <w:abstractNumId w:val="1"/>
  </w:num>
  <w:num w:numId="8" w16cid:durableId="995692132">
    <w:abstractNumId w:val="19"/>
  </w:num>
  <w:num w:numId="9" w16cid:durableId="468477797">
    <w:abstractNumId w:val="0"/>
  </w:num>
  <w:num w:numId="10" w16cid:durableId="1548104843">
    <w:abstractNumId w:val="12"/>
  </w:num>
  <w:num w:numId="11" w16cid:durableId="1450470393">
    <w:abstractNumId w:val="11"/>
  </w:num>
  <w:num w:numId="12" w16cid:durableId="993334520">
    <w:abstractNumId w:val="16"/>
  </w:num>
  <w:num w:numId="13" w16cid:durableId="91321239">
    <w:abstractNumId w:val="8"/>
  </w:num>
  <w:num w:numId="14" w16cid:durableId="2119518560">
    <w:abstractNumId w:val="17"/>
  </w:num>
  <w:num w:numId="15" w16cid:durableId="1988894698">
    <w:abstractNumId w:val="20"/>
  </w:num>
  <w:num w:numId="16" w16cid:durableId="696202864">
    <w:abstractNumId w:val="10"/>
  </w:num>
  <w:num w:numId="17" w16cid:durableId="952784904">
    <w:abstractNumId w:val="14"/>
  </w:num>
  <w:num w:numId="18" w16cid:durableId="920603064">
    <w:abstractNumId w:val="15"/>
  </w:num>
  <w:num w:numId="19" w16cid:durableId="1336884186">
    <w:abstractNumId w:val="18"/>
  </w:num>
  <w:num w:numId="20" w16cid:durableId="70735278">
    <w:abstractNumId w:val="9"/>
  </w:num>
  <w:num w:numId="21" w16cid:durableId="17594048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51"/>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nexno" w:val="1"/>
    <w:docVar w:name="AskAnnex" w:val="Yes"/>
    <w:docVar w:name="Div" w:val="  "/>
    <w:docVar w:name="SingleAnnex" w:val="No"/>
    <w:docVar w:name="Symbol" w:val="789"/>
  </w:docVars>
  <w:rsids>
    <w:rsidRoot w:val="00911084"/>
    <w:rsid w:val="00000388"/>
    <w:rsid w:val="00000703"/>
    <w:rsid w:val="00000993"/>
    <w:rsid w:val="00002172"/>
    <w:rsid w:val="0000314E"/>
    <w:rsid w:val="00003A53"/>
    <w:rsid w:val="00004B65"/>
    <w:rsid w:val="00004D41"/>
    <w:rsid w:val="00005D88"/>
    <w:rsid w:val="00005E26"/>
    <w:rsid w:val="0000604C"/>
    <w:rsid w:val="00006652"/>
    <w:rsid w:val="00006BB7"/>
    <w:rsid w:val="00006CAC"/>
    <w:rsid w:val="00006F4A"/>
    <w:rsid w:val="00010016"/>
    <w:rsid w:val="000102DB"/>
    <w:rsid w:val="0001038D"/>
    <w:rsid w:val="000109E9"/>
    <w:rsid w:val="00010E67"/>
    <w:rsid w:val="0001130C"/>
    <w:rsid w:val="00011345"/>
    <w:rsid w:val="00011D92"/>
    <w:rsid w:val="000120DB"/>
    <w:rsid w:val="000128C7"/>
    <w:rsid w:val="000129C1"/>
    <w:rsid w:val="00013A95"/>
    <w:rsid w:val="00013BDB"/>
    <w:rsid w:val="00015186"/>
    <w:rsid w:val="00015340"/>
    <w:rsid w:val="00015382"/>
    <w:rsid w:val="00015595"/>
    <w:rsid w:val="000160D4"/>
    <w:rsid w:val="00016569"/>
    <w:rsid w:val="0002098F"/>
    <w:rsid w:val="00020AEA"/>
    <w:rsid w:val="00020F77"/>
    <w:rsid w:val="00022898"/>
    <w:rsid w:val="0002361D"/>
    <w:rsid w:val="0002499C"/>
    <w:rsid w:val="000266FD"/>
    <w:rsid w:val="0002747E"/>
    <w:rsid w:val="00027C9A"/>
    <w:rsid w:val="00027F9B"/>
    <w:rsid w:val="000306B3"/>
    <w:rsid w:val="00030BFD"/>
    <w:rsid w:val="00030E1E"/>
    <w:rsid w:val="00031754"/>
    <w:rsid w:val="00031A2E"/>
    <w:rsid w:val="0003219E"/>
    <w:rsid w:val="00032D93"/>
    <w:rsid w:val="00032F96"/>
    <w:rsid w:val="00033548"/>
    <w:rsid w:val="00033B7D"/>
    <w:rsid w:val="00034F3B"/>
    <w:rsid w:val="00035439"/>
    <w:rsid w:val="00035B7A"/>
    <w:rsid w:val="00035C30"/>
    <w:rsid w:val="000375CF"/>
    <w:rsid w:val="000379C2"/>
    <w:rsid w:val="00040945"/>
    <w:rsid w:val="00041037"/>
    <w:rsid w:val="0004136D"/>
    <w:rsid w:val="00042362"/>
    <w:rsid w:val="00042903"/>
    <w:rsid w:val="00042A87"/>
    <w:rsid w:val="000432BC"/>
    <w:rsid w:val="000434D8"/>
    <w:rsid w:val="00043903"/>
    <w:rsid w:val="00043F7D"/>
    <w:rsid w:val="000446B9"/>
    <w:rsid w:val="000505BB"/>
    <w:rsid w:val="00050A8C"/>
    <w:rsid w:val="00050F23"/>
    <w:rsid w:val="0005133D"/>
    <w:rsid w:val="0005143A"/>
    <w:rsid w:val="0005224E"/>
    <w:rsid w:val="000524B9"/>
    <w:rsid w:val="00053AE5"/>
    <w:rsid w:val="00054B52"/>
    <w:rsid w:val="00055795"/>
    <w:rsid w:val="0005597F"/>
    <w:rsid w:val="00055E29"/>
    <w:rsid w:val="000604AC"/>
    <w:rsid w:val="00062B0F"/>
    <w:rsid w:val="00062FA9"/>
    <w:rsid w:val="00064635"/>
    <w:rsid w:val="00065838"/>
    <w:rsid w:val="000658C2"/>
    <w:rsid w:val="000660C0"/>
    <w:rsid w:val="000669AF"/>
    <w:rsid w:val="00066E6F"/>
    <w:rsid w:val="00067DB8"/>
    <w:rsid w:val="000702BC"/>
    <w:rsid w:val="000707FA"/>
    <w:rsid w:val="00070D5A"/>
    <w:rsid w:val="00071878"/>
    <w:rsid w:val="00072ADD"/>
    <w:rsid w:val="00072C4D"/>
    <w:rsid w:val="0007307B"/>
    <w:rsid w:val="000743AD"/>
    <w:rsid w:val="0007469F"/>
    <w:rsid w:val="00074D5A"/>
    <w:rsid w:val="00074E76"/>
    <w:rsid w:val="00075818"/>
    <w:rsid w:val="00075B46"/>
    <w:rsid w:val="00075D1B"/>
    <w:rsid w:val="0007732F"/>
    <w:rsid w:val="000778F5"/>
    <w:rsid w:val="00080699"/>
    <w:rsid w:val="00080838"/>
    <w:rsid w:val="00080C2A"/>
    <w:rsid w:val="00080E8E"/>
    <w:rsid w:val="000816E0"/>
    <w:rsid w:val="00082E5F"/>
    <w:rsid w:val="0008466E"/>
    <w:rsid w:val="00084861"/>
    <w:rsid w:val="00084B2A"/>
    <w:rsid w:val="00084E78"/>
    <w:rsid w:val="00086FA8"/>
    <w:rsid w:val="000876F3"/>
    <w:rsid w:val="00087A75"/>
    <w:rsid w:val="00087CE4"/>
    <w:rsid w:val="00087F45"/>
    <w:rsid w:val="00090076"/>
    <w:rsid w:val="00090152"/>
    <w:rsid w:val="00090CF7"/>
    <w:rsid w:val="00091395"/>
    <w:rsid w:val="000916E5"/>
    <w:rsid w:val="0009189C"/>
    <w:rsid w:val="00091B36"/>
    <w:rsid w:val="000921DF"/>
    <w:rsid w:val="00092397"/>
    <w:rsid w:val="0009343B"/>
    <w:rsid w:val="00093B52"/>
    <w:rsid w:val="00094525"/>
    <w:rsid w:val="00094BA4"/>
    <w:rsid w:val="00096E8F"/>
    <w:rsid w:val="000972E9"/>
    <w:rsid w:val="00097CF1"/>
    <w:rsid w:val="000A076B"/>
    <w:rsid w:val="000A0BD5"/>
    <w:rsid w:val="000A210E"/>
    <w:rsid w:val="000A246D"/>
    <w:rsid w:val="000A2C6F"/>
    <w:rsid w:val="000A30D2"/>
    <w:rsid w:val="000A3543"/>
    <w:rsid w:val="000A3DC5"/>
    <w:rsid w:val="000A3ED8"/>
    <w:rsid w:val="000A55D8"/>
    <w:rsid w:val="000A604F"/>
    <w:rsid w:val="000A6E57"/>
    <w:rsid w:val="000A6E81"/>
    <w:rsid w:val="000A79A6"/>
    <w:rsid w:val="000A7FD2"/>
    <w:rsid w:val="000B23E0"/>
    <w:rsid w:val="000B2402"/>
    <w:rsid w:val="000B2A5A"/>
    <w:rsid w:val="000B3371"/>
    <w:rsid w:val="000B3E93"/>
    <w:rsid w:val="000B43D2"/>
    <w:rsid w:val="000B5866"/>
    <w:rsid w:val="000B62EF"/>
    <w:rsid w:val="000B6B92"/>
    <w:rsid w:val="000B6F2B"/>
    <w:rsid w:val="000B7215"/>
    <w:rsid w:val="000C018E"/>
    <w:rsid w:val="000C0474"/>
    <w:rsid w:val="000C177B"/>
    <w:rsid w:val="000C2398"/>
    <w:rsid w:val="000C2D90"/>
    <w:rsid w:val="000C2E7C"/>
    <w:rsid w:val="000C37F0"/>
    <w:rsid w:val="000C3D82"/>
    <w:rsid w:val="000C44EC"/>
    <w:rsid w:val="000C4BC1"/>
    <w:rsid w:val="000C4E27"/>
    <w:rsid w:val="000C5141"/>
    <w:rsid w:val="000C561E"/>
    <w:rsid w:val="000C5651"/>
    <w:rsid w:val="000C6F36"/>
    <w:rsid w:val="000D0479"/>
    <w:rsid w:val="000D08F2"/>
    <w:rsid w:val="000D21A9"/>
    <w:rsid w:val="000D3490"/>
    <w:rsid w:val="000D426A"/>
    <w:rsid w:val="000D4A07"/>
    <w:rsid w:val="000D5CB3"/>
    <w:rsid w:val="000D6045"/>
    <w:rsid w:val="000D62F9"/>
    <w:rsid w:val="000D63D5"/>
    <w:rsid w:val="000E0120"/>
    <w:rsid w:val="000E069F"/>
    <w:rsid w:val="000E07A1"/>
    <w:rsid w:val="000E15B9"/>
    <w:rsid w:val="000E289E"/>
    <w:rsid w:val="000E2FF7"/>
    <w:rsid w:val="000E3053"/>
    <w:rsid w:val="000E32F7"/>
    <w:rsid w:val="000E39CA"/>
    <w:rsid w:val="000E3F50"/>
    <w:rsid w:val="000E3FE1"/>
    <w:rsid w:val="000E49BD"/>
    <w:rsid w:val="000E4CC1"/>
    <w:rsid w:val="000E6F9E"/>
    <w:rsid w:val="000E7C7B"/>
    <w:rsid w:val="000F0A70"/>
    <w:rsid w:val="000F1374"/>
    <w:rsid w:val="000F1449"/>
    <w:rsid w:val="000F2702"/>
    <w:rsid w:val="000F2EFD"/>
    <w:rsid w:val="000F3A73"/>
    <w:rsid w:val="000F3AE8"/>
    <w:rsid w:val="000F3B1A"/>
    <w:rsid w:val="000F3FD8"/>
    <w:rsid w:val="000F478F"/>
    <w:rsid w:val="000F4855"/>
    <w:rsid w:val="000F5157"/>
    <w:rsid w:val="000F5AEF"/>
    <w:rsid w:val="000F5F7F"/>
    <w:rsid w:val="000F6102"/>
    <w:rsid w:val="0010028C"/>
    <w:rsid w:val="00100578"/>
    <w:rsid w:val="00101A82"/>
    <w:rsid w:val="00101FCB"/>
    <w:rsid w:val="00103063"/>
    <w:rsid w:val="00103077"/>
    <w:rsid w:val="001030DA"/>
    <w:rsid w:val="00104025"/>
    <w:rsid w:val="00104359"/>
    <w:rsid w:val="001048B2"/>
    <w:rsid w:val="00104A60"/>
    <w:rsid w:val="00104F7D"/>
    <w:rsid w:val="00105BFC"/>
    <w:rsid w:val="00106489"/>
    <w:rsid w:val="00106E5D"/>
    <w:rsid w:val="00106FB3"/>
    <w:rsid w:val="00110719"/>
    <w:rsid w:val="00110CC8"/>
    <w:rsid w:val="001117DD"/>
    <w:rsid w:val="00111A9D"/>
    <w:rsid w:val="00111AB4"/>
    <w:rsid w:val="00112FDE"/>
    <w:rsid w:val="001136EE"/>
    <w:rsid w:val="00113763"/>
    <w:rsid w:val="00113932"/>
    <w:rsid w:val="00114392"/>
    <w:rsid w:val="0011534C"/>
    <w:rsid w:val="001156FC"/>
    <w:rsid w:val="001159BA"/>
    <w:rsid w:val="00116449"/>
    <w:rsid w:val="001167DC"/>
    <w:rsid w:val="001172F5"/>
    <w:rsid w:val="0011736F"/>
    <w:rsid w:val="00120047"/>
    <w:rsid w:val="00120135"/>
    <w:rsid w:val="00120171"/>
    <w:rsid w:val="00120E21"/>
    <w:rsid w:val="00121002"/>
    <w:rsid w:val="001216B1"/>
    <w:rsid w:val="001217FD"/>
    <w:rsid w:val="0012294C"/>
    <w:rsid w:val="00122FA4"/>
    <w:rsid w:val="00123289"/>
    <w:rsid w:val="00123D87"/>
    <w:rsid w:val="00125302"/>
    <w:rsid w:val="001273A5"/>
    <w:rsid w:val="001304A8"/>
    <w:rsid w:val="00131311"/>
    <w:rsid w:val="00131406"/>
    <w:rsid w:val="0013239E"/>
    <w:rsid w:val="00132452"/>
    <w:rsid w:val="00132CF3"/>
    <w:rsid w:val="00133F1A"/>
    <w:rsid w:val="00135842"/>
    <w:rsid w:val="00135B7F"/>
    <w:rsid w:val="0013639A"/>
    <w:rsid w:val="00137AA9"/>
    <w:rsid w:val="00137ED0"/>
    <w:rsid w:val="001402F2"/>
    <w:rsid w:val="001406E6"/>
    <w:rsid w:val="00140CC6"/>
    <w:rsid w:val="00140D70"/>
    <w:rsid w:val="00141BEC"/>
    <w:rsid w:val="00141F68"/>
    <w:rsid w:val="00141FCE"/>
    <w:rsid w:val="00142866"/>
    <w:rsid w:val="00142AD5"/>
    <w:rsid w:val="00143E10"/>
    <w:rsid w:val="00144116"/>
    <w:rsid w:val="001443CC"/>
    <w:rsid w:val="00144845"/>
    <w:rsid w:val="001450CA"/>
    <w:rsid w:val="001465B0"/>
    <w:rsid w:val="0014668D"/>
    <w:rsid w:val="0014720F"/>
    <w:rsid w:val="00150CC1"/>
    <w:rsid w:val="00150E64"/>
    <w:rsid w:val="00151150"/>
    <w:rsid w:val="00151317"/>
    <w:rsid w:val="0015168F"/>
    <w:rsid w:val="00153952"/>
    <w:rsid w:val="00154401"/>
    <w:rsid w:val="001546FF"/>
    <w:rsid w:val="00154EB1"/>
    <w:rsid w:val="00155BB6"/>
    <w:rsid w:val="00156027"/>
    <w:rsid w:val="00156A2A"/>
    <w:rsid w:val="00156E93"/>
    <w:rsid w:val="00157D1F"/>
    <w:rsid w:val="0016045C"/>
    <w:rsid w:val="001617A4"/>
    <w:rsid w:val="001624E7"/>
    <w:rsid w:val="001629DA"/>
    <w:rsid w:val="001631FE"/>
    <w:rsid w:val="00163EE5"/>
    <w:rsid w:val="00164FAD"/>
    <w:rsid w:val="00165AE5"/>
    <w:rsid w:val="00165CF0"/>
    <w:rsid w:val="00165E37"/>
    <w:rsid w:val="00166483"/>
    <w:rsid w:val="0016773B"/>
    <w:rsid w:val="00170022"/>
    <w:rsid w:val="0017061E"/>
    <w:rsid w:val="00171030"/>
    <w:rsid w:val="001713CF"/>
    <w:rsid w:val="0017179F"/>
    <w:rsid w:val="001723C8"/>
    <w:rsid w:val="00172BD9"/>
    <w:rsid w:val="00173D2E"/>
    <w:rsid w:val="00174801"/>
    <w:rsid w:val="00174EDF"/>
    <w:rsid w:val="0017593F"/>
    <w:rsid w:val="00176964"/>
    <w:rsid w:val="001800CC"/>
    <w:rsid w:val="00181108"/>
    <w:rsid w:val="00182105"/>
    <w:rsid w:val="001831C5"/>
    <w:rsid w:val="001835B1"/>
    <w:rsid w:val="00183A15"/>
    <w:rsid w:val="00183C8F"/>
    <w:rsid w:val="00183D5A"/>
    <w:rsid w:val="001846A8"/>
    <w:rsid w:val="00185359"/>
    <w:rsid w:val="00186CF1"/>
    <w:rsid w:val="00187E30"/>
    <w:rsid w:val="00187FA1"/>
    <w:rsid w:val="001900FD"/>
    <w:rsid w:val="001903C8"/>
    <w:rsid w:val="001903CE"/>
    <w:rsid w:val="0019078F"/>
    <w:rsid w:val="00190886"/>
    <w:rsid w:val="00190B6F"/>
    <w:rsid w:val="00191040"/>
    <w:rsid w:val="001911FF"/>
    <w:rsid w:val="00192EC5"/>
    <w:rsid w:val="00192EEA"/>
    <w:rsid w:val="0019350D"/>
    <w:rsid w:val="00193BBD"/>
    <w:rsid w:val="00193C40"/>
    <w:rsid w:val="00193C8C"/>
    <w:rsid w:val="00193D1B"/>
    <w:rsid w:val="00193D56"/>
    <w:rsid w:val="00194123"/>
    <w:rsid w:val="00195D07"/>
    <w:rsid w:val="00196195"/>
    <w:rsid w:val="001964DC"/>
    <w:rsid w:val="00196FD8"/>
    <w:rsid w:val="00197836"/>
    <w:rsid w:val="001A0216"/>
    <w:rsid w:val="001A0E68"/>
    <w:rsid w:val="001A22E6"/>
    <w:rsid w:val="001A2650"/>
    <w:rsid w:val="001A3C57"/>
    <w:rsid w:val="001A4394"/>
    <w:rsid w:val="001A605B"/>
    <w:rsid w:val="001A63B6"/>
    <w:rsid w:val="001A6AD7"/>
    <w:rsid w:val="001A6B5C"/>
    <w:rsid w:val="001A7283"/>
    <w:rsid w:val="001B1072"/>
    <w:rsid w:val="001B12A0"/>
    <w:rsid w:val="001B158F"/>
    <w:rsid w:val="001B15AC"/>
    <w:rsid w:val="001B2258"/>
    <w:rsid w:val="001B2925"/>
    <w:rsid w:val="001B2958"/>
    <w:rsid w:val="001B4779"/>
    <w:rsid w:val="001B5193"/>
    <w:rsid w:val="001B527E"/>
    <w:rsid w:val="001B5868"/>
    <w:rsid w:val="001B65EB"/>
    <w:rsid w:val="001B7DDB"/>
    <w:rsid w:val="001B7E80"/>
    <w:rsid w:val="001C0655"/>
    <w:rsid w:val="001C0B8C"/>
    <w:rsid w:val="001C113A"/>
    <w:rsid w:val="001C1684"/>
    <w:rsid w:val="001C1C8F"/>
    <w:rsid w:val="001C1CFB"/>
    <w:rsid w:val="001C1F4B"/>
    <w:rsid w:val="001C2B7F"/>
    <w:rsid w:val="001C2EF9"/>
    <w:rsid w:val="001C42BF"/>
    <w:rsid w:val="001C5545"/>
    <w:rsid w:val="001C55B7"/>
    <w:rsid w:val="001C626F"/>
    <w:rsid w:val="001C6B30"/>
    <w:rsid w:val="001C7037"/>
    <w:rsid w:val="001D0226"/>
    <w:rsid w:val="001D124D"/>
    <w:rsid w:val="001D14E0"/>
    <w:rsid w:val="001D16F4"/>
    <w:rsid w:val="001D1886"/>
    <w:rsid w:val="001D18A0"/>
    <w:rsid w:val="001D2BC6"/>
    <w:rsid w:val="001D2EA7"/>
    <w:rsid w:val="001D3299"/>
    <w:rsid w:val="001D3505"/>
    <w:rsid w:val="001D3EC5"/>
    <w:rsid w:val="001D4A91"/>
    <w:rsid w:val="001D4F30"/>
    <w:rsid w:val="001D50F5"/>
    <w:rsid w:val="001D5159"/>
    <w:rsid w:val="001D58BC"/>
    <w:rsid w:val="001D686E"/>
    <w:rsid w:val="001D6AC6"/>
    <w:rsid w:val="001D732E"/>
    <w:rsid w:val="001E1757"/>
    <w:rsid w:val="001E189E"/>
    <w:rsid w:val="001E28D6"/>
    <w:rsid w:val="001E2B2E"/>
    <w:rsid w:val="001E2EE5"/>
    <w:rsid w:val="001E426E"/>
    <w:rsid w:val="001E4E55"/>
    <w:rsid w:val="001E4E6D"/>
    <w:rsid w:val="001E4E77"/>
    <w:rsid w:val="001E516F"/>
    <w:rsid w:val="001E51C5"/>
    <w:rsid w:val="001E5D33"/>
    <w:rsid w:val="001E6615"/>
    <w:rsid w:val="001E6F0F"/>
    <w:rsid w:val="001E706A"/>
    <w:rsid w:val="001E7593"/>
    <w:rsid w:val="001F065E"/>
    <w:rsid w:val="001F069A"/>
    <w:rsid w:val="001F0951"/>
    <w:rsid w:val="001F12DB"/>
    <w:rsid w:val="001F2125"/>
    <w:rsid w:val="001F394E"/>
    <w:rsid w:val="001F3A94"/>
    <w:rsid w:val="001F3D6C"/>
    <w:rsid w:val="001F4EBC"/>
    <w:rsid w:val="001F523A"/>
    <w:rsid w:val="001F5EA2"/>
    <w:rsid w:val="001F63DD"/>
    <w:rsid w:val="001F6446"/>
    <w:rsid w:val="001F6701"/>
    <w:rsid w:val="001F6FFB"/>
    <w:rsid w:val="001F755D"/>
    <w:rsid w:val="001F7AE5"/>
    <w:rsid w:val="002002D0"/>
    <w:rsid w:val="00200DF4"/>
    <w:rsid w:val="00201E34"/>
    <w:rsid w:val="00202603"/>
    <w:rsid w:val="0020290E"/>
    <w:rsid w:val="002034D5"/>
    <w:rsid w:val="002035F6"/>
    <w:rsid w:val="002036E0"/>
    <w:rsid w:val="00203C19"/>
    <w:rsid w:val="00204AFB"/>
    <w:rsid w:val="00204BF1"/>
    <w:rsid w:val="002057E1"/>
    <w:rsid w:val="002058AA"/>
    <w:rsid w:val="00205E4E"/>
    <w:rsid w:val="002071A3"/>
    <w:rsid w:val="002075F9"/>
    <w:rsid w:val="002102BC"/>
    <w:rsid w:val="00210EC8"/>
    <w:rsid w:val="002117FE"/>
    <w:rsid w:val="002121E8"/>
    <w:rsid w:val="002124EE"/>
    <w:rsid w:val="00212D19"/>
    <w:rsid w:val="00214B36"/>
    <w:rsid w:val="00214E84"/>
    <w:rsid w:val="00215E65"/>
    <w:rsid w:val="0021606B"/>
    <w:rsid w:val="00217764"/>
    <w:rsid w:val="00217778"/>
    <w:rsid w:val="00217901"/>
    <w:rsid w:val="00217AD7"/>
    <w:rsid w:val="00217C5F"/>
    <w:rsid w:val="00217D7D"/>
    <w:rsid w:val="002210F3"/>
    <w:rsid w:val="002212CC"/>
    <w:rsid w:val="00221B17"/>
    <w:rsid w:val="00221E24"/>
    <w:rsid w:val="0022464F"/>
    <w:rsid w:val="00224A9E"/>
    <w:rsid w:val="00225695"/>
    <w:rsid w:val="00227536"/>
    <w:rsid w:val="00230E4D"/>
    <w:rsid w:val="002311CA"/>
    <w:rsid w:val="00232299"/>
    <w:rsid w:val="002323B4"/>
    <w:rsid w:val="002324EA"/>
    <w:rsid w:val="00232ABA"/>
    <w:rsid w:val="00233543"/>
    <w:rsid w:val="00233CA6"/>
    <w:rsid w:val="00233DA9"/>
    <w:rsid w:val="00234941"/>
    <w:rsid w:val="002350E1"/>
    <w:rsid w:val="00235560"/>
    <w:rsid w:val="0023599F"/>
    <w:rsid w:val="00235F03"/>
    <w:rsid w:val="0023618D"/>
    <w:rsid w:val="00236284"/>
    <w:rsid w:val="00236B07"/>
    <w:rsid w:val="002374E9"/>
    <w:rsid w:val="002376E1"/>
    <w:rsid w:val="002377E3"/>
    <w:rsid w:val="002378DC"/>
    <w:rsid w:val="002403BF"/>
    <w:rsid w:val="00240695"/>
    <w:rsid w:val="002407C7"/>
    <w:rsid w:val="00240D67"/>
    <w:rsid w:val="00241B48"/>
    <w:rsid w:val="00242C67"/>
    <w:rsid w:val="00242DC6"/>
    <w:rsid w:val="00243167"/>
    <w:rsid w:val="0024405B"/>
    <w:rsid w:val="002444F0"/>
    <w:rsid w:val="002449F8"/>
    <w:rsid w:val="00244BE0"/>
    <w:rsid w:val="00245368"/>
    <w:rsid w:val="00245A6E"/>
    <w:rsid w:val="00245F32"/>
    <w:rsid w:val="00246C7D"/>
    <w:rsid w:val="00246CE7"/>
    <w:rsid w:val="00250187"/>
    <w:rsid w:val="0025044F"/>
    <w:rsid w:val="0025065E"/>
    <w:rsid w:val="00250B0D"/>
    <w:rsid w:val="0025144D"/>
    <w:rsid w:val="00251AA0"/>
    <w:rsid w:val="0025218F"/>
    <w:rsid w:val="00252798"/>
    <w:rsid w:val="00252ECA"/>
    <w:rsid w:val="00253504"/>
    <w:rsid w:val="00254109"/>
    <w:rsid w:val="002543FA"/>
    <w:rsid w:val="00254BE9"/>
    <w:rsid w:val="00254F6D"/>
    <w:rsid w:val="00255288"/>
    <w:rsid w:val="00255A15"/>
    <w:rsid w:val="00255C4B"/>
    <w:rsid w:val="002560A5"/>
    <w:rsid w:val="00256A1C"/>
    <w:rsid w:val="002573B7"/>
    <w:rsid w:val="00257B9B"/>
    <w:rsid w:val="00257FAD"/>
    <w:rsid w:val="00257FF7"/>
    <w:rsid w:val="002606AC"/>
    <w:rsid w:val="002609C7"/>
    <w:rsid w:val="002615B8"/>
    <w:rsid w:val="00261A6B"/>
    <w:rsid w:val="00261C34"/>
    <w:rsid w:val="002626D8"/>
    <w:rsid w:val="002626F2"/>
    <w:rsid w:val="00262EDE"/>
    <w:rsid w:val="00263FA9"/>
    <w:rsid w:val="00264BEE"/>
    <w:rsid w:val="00265662"/>
    <w:rsid w:val="00265BC1"/>
    <w:rsid w:val="00266E61"/>
    <w:rsid w:val="00266EF8"/>
    <w:rsid w:val="00270130"/>
    <w:rsid w:val="002704CA"/>
    <w:rsid w:val="00270A4E"/>
    <w:rsid w:val="0027214E"/>
    <w:rsid w:val="002722BB"/>
    <w:rsid w:val="00272434"/>
    <w:rsid w:val="002729C7"/>
    <w:rsid w:val="00272C8F"/>
    <w:rsid w:val="002732B6"/>
    <w:rsid w:val="00273E36"/>
    <w:rsid w:val="0027463F"/>
    <w:rsid w:val="00276761"/>
    <w:rsid w:val="00277187"/>
    <w:rsid w:val="0027750C"/>
    <w:rsid w:val="00277969"/>
    <w:rsid w:val="002812EA"/>
    <w:rsid w:val="00281383"/>
    <w:rsid w:val="00281C31"/>
    <w:rsid w:val="0028231C"/>
    <w:rsid w:val="00282A17"/>
    <w:rsid w:val="002830A1"/>
    <w:rsid w:val="00283476"/>
    <w:rsid w:val="00284848"/>
    <w:rsid w:val="00284C44"/>
    <w:rsid w:val="002850E0"/>
    <w:rsid w:val="002852B9"/>
    <w:rsid w:val="002857B0"/>
    <w:rsid w:val="00285C69"/>
    <w:rsid w:val="0028674C"/>
    <w:rsid w:val="00287210"/>
    <w:rsid w:val="00292ED2"/>
    <w:rsid w:val="0029376A"/>
    <w:rsid w:val="0029421D"/>
    <w:rsid w:val="00294B89"/>
    <w:rsid w:val="002952E9"/>
    <w:rsid w:val="0029567D"/>
    <w:rsid w:val="00296094"/>
    <w:rsid w:val="00296386"/>
    <w:rsid w:val="00296769"/>
    <w:rsid w:val="002973B1"/>
    <w:rsid w:val="002976C8"/>
    <w:rsid w:val="00297C61"/>
    <w:rsid w:val="002A11F7"/>
    <w:rsid w:val="002A2452"/>
    <w:rsid w:val="002A274D"/>
    <w:rsid w:val="002A2A1D"/>
    <w:rsid w:val="002A2A6B"/>
    <w:rsid w:val="002A30D0"/>
    <w:rsid w:val="002A3251"/>
    <w:rsid w:val="002A329F"/>
    <w:rsid w:val="002A3C13"/>
    <w:rsid w:val="002A46A8"/>
    <w:rsid w:val="002A49B4"/>
    <w:rsid w:val="002A4FCC"/>
    <w:rsid w:val="002A51E7"/>
    <w:rsid w:val="002A5CD1"/>
    <w:rsid w:val="002A743C"/>
    <w:rsid w:val="002B0A3A"/>
    <w:rsid w:val="002B1859"/>
    <w:rsid w:val="002B3F82"/>
    <w:rsid w:val="002B44C4"/>
    <w:rsid w:val="002B4A83"/>
    <w:rsid w:val="002B4DD8"/>
    <w:rsid w:val="002B59FB"/>
    <w:rsid w:val="002B5E35"/>
    <w:rsid w:val="002B61FE"/>
    <w:rsid w:val="002C05C4"/>
    <w:rsid w:val="002C08F7"/>
    <w:rsid w:val="002C0A76"/>
    <w:rsid w:val="002C0C80"/>
    <w:rsid w:val="002C0E05"/>
    <w:rsid w:val="002C12C1"/>
    <w:rsid w:val="002C1BAB"/>
    <w:rsid w:val="002C25BB"/>
    <w:rsid w:val="002C2C97"/>
    <w:rsid w:val="002C2DFA"/>
    <w:rsid w:val="002C2F23"/>
    <w:rsid w:val="002C347A"/>
    <w:rsid w:val="002C535B"/>
    <w:rsid w:val="002C55A5"/>
    <w:rsid w:val="002C566F"/>
    <w:rsid w:val="002C61D4"/>
    <w:rsid w:val="002C725A"/>
    <w:rsid w:val="002C74A6"/>
    <w:rsid w:val="002C7891"/>
    <w:rsid w:val="002C7D94"/>
    <w:rsid w:val="002D0EE3"/>
    <w:rsid w:val="002D1974"/>
    <w:rsid w:val="002D215D"/>
    <w:rsid w:val="002D216B"/>
    <w:rsid w:val="002D2DFB"/>
    <w:rsid w:val="002D304A"/>
    <w:rsid w:val="002D3563"/>
    <w:rsid w:val="002D3EE2"/>
    <w:rsid w:val="002D542F"/>
    <w:rsid w:val="002D5808"/>
    <w:rsid w:val="002D6626"/>
    <w:rsid w:val="002D7C90"/>
    <w:rsid w:val="002D7E86"/>
    <w:rsid w:val="002E03A5"/>
    <w:rsid w:val="002E03B9"/>
    <w:rsid w:val="002E052E"/>
    <w:rsid w:val="002E0A88"/>
    <w:rsid w:val="002E0E90"/>
    <w:rsid w:val="002E14D1"/>
    <w:rsid w:val="002E1648"/>
    <w:rsid w:val="002E185D"/>
    <w:rsid w:val="002E356C"/>
    <w:rsid w:val="002E357E"/>
    <w:rsid w:val="002E3791"/>
    <w:rsid w:val="002E3FC7"/>
    <w:rsid w:val="002E4F49"/>
    <w:rsid w:val="002E5002"/>
    <w:rsid w:val="002E5D33"/>
    <w:rsid w:val="002E6493"/>
    <w:rsid w:val="002E65A2"/>
    <w:rsid w:val="002E6AA4"/>
    <w:rsid w:val="002E6B83"/>
    <w:rsid w:val="002E6E13"/>
    <w:rsid w:val="002E734D"/>
    <w:rsid w:val="002F07EE"/>
    <w:rsid w:val="002F0A24"/>
    <w:rsid w:val="002F0D0F"/>
    <w:rsid w:val="002F0E48"/>
    <w:rsid w:val="002F23D6"/>
    <w:rsid w:val="002F28F4"/>
    <w:rsid w:val="002F2B0A"/>
    <w:rsid w:val="002F2E6A"/>
    <w:rsid w:val="002F2ED4"/>
    <w:rsid w:val="002F49EB"/>
    <w:rsid w:val="002F5D44"/>
    <w:rsid w:val="002F656F"/>
    <w:rsid w:val="002F6E07"/>
    <w:rsid w:val="002F7476"/>
    <w:rsid w:val="003001FE"/>
    <w:rsid w:val="003004C7"/>
    <w:rsid w:val="00300E2B"/>
    <w:rsid w:val="00302187"/>
    <w:rsid w:val="003023AE"/>
    <w:rsid w:val="00302B76"/>
    <w:rsid w:val="003032B1"/>
    <w:rsid w:val="00303FD5"/>
    <w:rsid w:val="00305406"/>
    <w:rsid w:val="00306946"/>
    <w:rsid w:val="00306A1B"/>
    <w:rsid w:val="00307AD9"/>
    <w:rsid w:val="00310F54"/>
    <w:rsid w:val="00312663"/>
    <w:rsid w:val="003126C6"/>
    <w:rsid w:val="00314BE0"/>
    <w:rsid w:val="00316E44"/>
    <w:rsid w:val="00320F98"/>
    <w:rsid w:val="00320FA8"/>
    <w:rsid w:val="00321372"/>
    <w:rsid w:val="003214EE"/>
    <w:rsid w:val="00321A25"/>
    <w:rsid w:val="003222C4"/>
    <w:rsid w:val="0032262E"/>
    <w:rsid w:val="00323420"/>
    <w:rsid w:val="003234C7"/>
    <w:rsid w:val="00324DD4"/>
    <w:rsid w:val="00324DF6"/>
    <w:rsid w:val="003252E1"/>
    <w:rsid w:val="003254E3"/>
    <w:rsid w:val="00326279"/>
    <w:rsid w:val="00326620"/>
    <w:rsid w:val="00326D9F"/>
    <w:rsid w:val="00326FA4"/>
    <w:rsid w:val="00326FD5"/>
    <w:rsid w:val="00327210"/>
    <w:rsid w:val="00327788"/>
    <w:rsid w:val="00330483"/>
    <w:rsid w:val="003307E0"/>
    <w:rsid w:val="00330BBE"/>
    <w:rsid w:val="003314E9"/>
    <w:rsid w:val="00332604"/>
    <w:rsid w:val="00332B6F"/>
    <w:rsid w:val="00332E66"/>
    <w:rsid w:val="0033303C"/>
    <w:rsid w:val="00333597"/>
    <w:rsid w:val="00334044"/>
    <w:rsid w:val="00335640"/>
    <w:rsid w:val="00335754"/>
    <w:rsid w:val="003357D9"/>
    <w:rsid w:val="00335D3C"/>
    <w:rsid w:val="00340121"/>
    <w:rsid w:val="003402C8"/>
    <w:rsid w:val="00340904"/>
    <w:rsid w:val="00340F5D"/>
    <w:rsid w:val="00340F77"/>
    <w:rsid w:val="00341CE0"/>
    <w:rsid w:val="00341E69"/>
    <w:rsid w:val="00341F3A"/>
    <w:rsid w:val="00342B48"/>
    <w:rsid w:val="00342D6D"/>
    <w:rsid w:val="00342DC7"/>
    <w:rsid w:val="00343D6C"/>
    <w:rsid w:val="00343EAA"/>
    <w:rsid w:val="00343F6F"/>
    <w:rsid w:val="0034434B"/>
    <w:rsid w:val="00344F06"/>
    <w:rsid w:val="00345712"/>
    <w:rsid w:val="00350211"/>
    <w:rsid w:val="00350C65"/>
    <w:rsid w:val="00351A88"/>
    <w:rsid w:val="00351EF2"/>
    <w:rsid w:val="00352D1B"/>
    <w:rsid w:val="00353332"/>
    <w:rsid w:val="003541AF"/>
    <w:rsid w:val="00354A52"/>
    <w:rsid w:val="00355645"/>
    <w:rsid w:val="00356316"/>
    <w:rsid w:val="003564BE"/>
    <w:rsid w:val="00356A08"/>
    <w:rsid w:val="00356D89"/>
    <w:rsid w:val="003571C2"/>
    <w:rsid w:val="00357383"/>
    <w:rsid w:val="003573CC"/>
    <w:rsid w:val="00357485"/>
    <w:rsid w:val="003575C1"/>
    <w:rsid w:val="003578FE"/>
    <w:rsid w:val="003610E9"/>
    <w:rsid w:val="00361723"/>
    <w:rsid w:val="003624B8"/>
    <w:rsid w:val="003637E6"/>
    <w:rsid w:val="00363DC1"/>
    <w:rsid w:val="00363F1F"/>
    <w:rsid w:val="00364ACA"/>
    <w:rsid w:val="00364D53"/>
    <w:rsid w:val="00365337"/>
    <w:rsid w:val="00365A99"/>
    <w:rsid w:val="00365B5C"/>
    <w:rsid w:val="003660D6"/>
    <w:rsid w:val="0036673D"/>
    <w:rsid w:val="003668CC"/>
    <w:rsid w:val="0036772E"/>
    <w:rsid w:val="00367863"/>
    <w:rsid w:val="00367ECF"/>
    <w:rsid w:val="00370B9A"/>
    <w:rsid w:val="003716B5"/>
    <w:rsid w:val="00371CB8"/>
    <w:rsid w:val="00371D32"/>
    <w:rsid w:val="003723B1"/>
    <w:rsid w:val="00372B93"/>
    <w:rsid w:val="00372CB2"/>
    <w:rsid w:val="00372ED7"/>
    <w:rsid w:val="0037342D"/>
    <w:rsid w:val="00374513"/>
    <w:rsid w:val="00374ADF"/>
    <w:rsid w:val="00376BE9"/>
    <w:rsid w:val="00377124"/>
    <w:rsid w:val="00380255"/>
    <w:rsid w:val="003803EC"/>
    <w:rsid w:val="00380D97"/>
    <w:rsid w:val="00382384"/>
    <w:rsid w:val="00382667"/>
    <w:rsid w:val="00383131"/>
    <w:rsid w:val="0038318A"/>
    <w:rsid w:val="003845BF"/>
    <w:rsid w:val="003847B3"/>
    <w:rsid w:val="00385001"/>
    <w:rsid w:val="003851CE"/>
    <w:rsid w:val="00385394"/>
    <w:rsid w:val="0038543A"/>
    <w:rsid w:val="0038578E"/>
    <w:rsid w:val="00385A31"/>
    <w:rsid w:val="00385E03"/>
    <w:rsid w:val="00386057"/>
    <w:rsid w:val="00386124"/>
    <w:rsid w:val="00386512"/>
    <w:rsid w:val="0038726B"/>
    <w:rsid w:val="003874F5"/>
    <w:rsid w:val="003878F8"/>
    <w:rsid w:val="00387C00"/>
    <w:rsid w:val="00387E3B"/>
    <w:rsid w:val="0039023D"/>
    <w:rsid w:val="00390FFB"/>
    <w:rsid w:val="003912E0"/>
    <w:rsid w:val="00392566"/>
    <w:rsid w:val="003929D4"/>
    <w:rsid w:val="00392D94"/>
    <w:rsid w:val="00393546"/>
    <w:rsid w:val="003939F7"/>
    <w:rsid w:val="00393A1D"/>
    <w:rsid w:val="00393EC5"/>
    <w:rsid w:val="00394C7A"/>
    <w:rsid w:val="003964B0"/>
    <w:rsid w:val="003969A1"/>
    <w:rsid w:val="00396B43"/>
    <w:rsid w:val="00396F3D"/>
    <w:rsid w:val="003974ED"/>
    <w:rsid w:val="003A0DF8"/>
    <w:rsid w:val="003A329B"/>
    <w:rsid w:val="003A3BAB"/>
    <w:rsid w:val="003A3C88"/>
    <w:rsid w:val="003A3CCB"/>
    <w:rsid w:val="003A4826"/>
    <w:rsid w:val="003A4DCA"/>
    <w:rsid w:val="003A4EA9"/>
    <w:rsid w:val="003A5087"/>
    <w:rsid w:val="003A5488"/>
    <w:rsid w:val="003A5A97"/>
    <w:rsid w:val="003A7B39"/>
    <w:rsid w:val="003A7CC8"/>
    <w:rsid w:val="003B006C"/>
    <w:rsid w:val="003B03B2"/>
    <w:rsid w:val="003B1015"/>
    <w:rsid w:val="003B1AFE"/>
    <w:rsid w:val="003B21BA"/>
    <w:rsid w:val="003B3021"/>
    <w:rsid w:val="003B320C"/>
    <w:rsid w:val="003B3B46"/>
    <w:rsid w:val="003B420F"/>
    <w:rsid w:val="003B545C"/>
    <w:rsid w:val="003B55D9"/>
    <w:rsid w:val="003B6720"/>
    <w:rsid w:val="003C0538"/>
    <w:rsid w:val="003C08C8"/>
    <w:rsid w:val="003C10EC"/>
    <w:rsid w:val="003C1CFA"/>
    <w:rsid w:val="003C1EB3"/>
    <w:rsid w:val="003C3A43"/>
    <w:rsid w:val="003C3E42"/>
    <w:rsid w:val="003C47E6"/>
    <w:rsid w:val="003C5AF1"/>
    <w:rsid w:val="003C5BBE"/>
    <w:rsid w:val="003C647D"/>
    <w:rsid w:val="003C6BF9"/>
    <w:rsid w:val="003C7160"/>
    <w:rsid w:val="003C7316"/>
    <w:rsid w:val="003C76C0"/>
    <w:rsid w:val="003C79E7"/>
    <w:rsid w:val="003D04D8"/>
    <w:rsid w:val="003D0E17"/>
    <w:rsid w:val="003D1742"/>
    <w:rsid w:val="003D1E28"/>
    <w:rsid w:val="003D37A1"/>
    <w:rsid w:val="003D3A36"/>
    <w:rsid w:val="003D549D"/>
    <w:rsid w:val="003D72DC"/>
    <w:rsid w:val="003D784D"/>
    <w:rsid w:val="003D7E5F"/>
    <w:rsid w:val="003E0FEC"/>
    <w:rsid w:val="003E1497"/>
    <w:rsid w:val="003E15CE"/>
    <w:rsid w:val="003E2575"/>
    <w:rsid w:val="003E36FA"/>
    <w:rsid w:val="003E3E56"/>
    <w:rsid w:val="003E4B27"/>
    <w:rsid w:val="003E5D06"/>
    <w:rsid w:val="003E5D39"/>
    <w:rsid w:val="003E676A"/>
    <w:rsid w:val="003E7199"/>
    <w:rsid w:val="003E7FDF"/>
    <w:rsid w:val="003F0445"/>
    <w:rsid w:val="003F06C4"/>
    <w:rsid w:val="003F089D"/>
    <w:rsid w:val="003F0A91"/>
    <w:rsid w:val="003F12B0"/>
    <w:rsid w:val="003F1923"/>
    <w:rsid w:val="003F1937"/>
    <w:rsid w:val="003F1BB1"/>
    <w:rsid w:val="003F2E48"/>
    <w:rsid w:val="003F334A"/>
    <w:rsid w:val="003F38B4"/>
    <w:rsid w:val="003F3ABB"/>
    <w:rsid w:val="003F4420"/>
    <w:rsid w:val="003F48D6"/>
    <w:rsid w:val="003F5A3B"/>
    <w:rsid w:val="003F5E1B"/>
    <w:rsid w:val="003F6DE9"/>
    <w:rsid w:val="003F7102"/>
    <w:rsid w:val="004009C9"/>
    <w:rsid w:val="0040255A"/>
    <w:rsid w:val="00403233"/>
    <w:rsid w:val="0040328B"/>
    <w:rsid w:val="004034B8"/>
    <w:rsid w:val="00404584"/>
    <w:rsid w:val="0040522B"/>
    <w:rsid w:val="004054CE"/>
    <w:rsid w:val="004060E9"/>
    <w:rsid w:val="0040666F"/>
    <w:rsid w:val="00406A75"/>
    <w:rsid w:val="00407202"/>
    <w:rsid w:val="004079D6"/>
    <w:rsid w:val="00411744"/>
    <w:rsid w:val="00411A84"/>
    <w:rsid w:val="00411B2D"/>
    <w:rsid w:val="0041219D"/>
    <w:rsid w:val="00414720"/>
    <w:rsid w:val="00414D65"/>
    <w:rsid w:val="004153EF"/>
    <w:rsid w:val="00415834"/>
    <w:rsid w:val="00415F6E"/>
    <w:rsid w:val="004162A9"/>
    <w:rsid w:val="00416C81"/>
    <w:rsid w:val="00416E1A"/>
    <w:rsid w:val="00417725"/>
    <w:rsid w:val="00417B34"/>
    <w:rsid w:val="00417E6B"/>
    <w:rsid w:val="004208E5"/>
    <w:rsid w:val="00421277"/>
    <w:rsid w:val="00422501"/>
    <w:rsid w:val="004228F4"/>
    <w:rsid w:val="00422D29"/>
    <w:rsid w:val="00423B78"/>
    <w:rsid w:val="0042424A"/>
    <w:rsid w:val="00424968"/>
    <w:rsid w:val="00424F79"/>
    <w:rsid w:val="004256C6"/>
    <w:rsid w:val="004303FB"/>
    <w:rsid w:val="0043043F"/>
    <w:rsid w:val="00431CC4"/>
    <w:rsid w:val="00431D8D"/>
    <w:rsid w:val="00432788"/>
    <w:rsid w:val="00432B1B"/>
    <w:rsid w:val="00432BC4"/>
    <w:rsid w:val="004336AA"/>
    <w:rsid w:val="00434343"/>
    <w:rsid w:val="004345A1"/>
    <w:rsid w:val="00434665"/>
    <w:rsid w:val="00434BED"/>
    <w:rsid w:val="00435506"/>
    <w:rsid w:val="004361A2"/>
    <w:rsid w:val="00436801"/>
    <w:rsid w:val="00440DAC"/>
    <w:rsid w:val="00441530"/>
    <w:rsid w:val="00441CCB"/>
    <w:rsid w:val="00442C5C"/>
    <w:rsid w:val="004434CD"/>
    <w:rsid w:val="004439BD"/>
    <w:rsid w:val="00443A81"/>
    <w:rsid w:val="00444015"/>
    <w:rsid w:val="0044442E"/>
    <w:rsid w:val="00444B47"/>
    <w:rsid w:val="00444E12"/>
    <w:rsid w:val="00445534"/>
    <w:rsid w:val="0044555F"/>
    <w:rsid w:val="00445BA1"/>
    <w:rsid w:val="004463DE"/>
    <w:rsid w:val="0044694A"/>
    <w:rsid w:val="00446C8D"/>
    <w:rsid w:val="004517C6"/>
    <w:rsid w:val="00451C27"/>
    <w:rsid w:val="0045247D"/>
    <w:rsid w:val="00452F4C"/>
    <w:rsid w:val="004547AF"/>
    <w:rsid w:val="00456855"/>
    <w:rsid w:val="00457667"/>
    <w:rsid w:val="0045782B"/>
    <w:rsid w:val="00460D90"/>
    <w:rsid w:val="004615AF"/>
    <w:rsid w:val="004615C5"/>
    <w:rsid w:val="00462125"/>
    <w:rsid w:val="00463B5D"/>
    <w:rsid w:val="004640B4"/>
    <w:rsid w:val="00464374"/>
    <w:rsid w:val="00464A01"/>
    <w:rsid w:val="0046598C"/>
    <w:rsid w:val="00465DB6"/>
    <w:rsid w:val="00465FF5"/>
    <w:rsid w:val="004664F6"/>
    <w:rsid w:val="00467F6A"/>
    <w:rsid w:val="00470A35"/>
    <w:rsid w:val="00471A8A"/>
    <w:rsid w:val="00471BC5"/>
    <w:rsid w:val="00472094"/>
    <w:rsid w:val="004728D2"/>
    <w:rsid w:val="00472A4A"/>
    <w:rsid w:val="00472C33"/>
    <w:rsid w:val="0047365C"/>
    <w:rsid w:val="00473809"/>
    <w:rsid w:val="0047403A"/>
    <w:rsid w:val="00474CE2"/>
    <w:rsid w:val="004753DD"/>
    <w:rsid w:val="0047545D"/>
    <w:rsid w:val="004760BB"/>
    <w:rsid w:val="0047652A"/>
    <w:rsid w:val="00476966"/>
    <w:rsid w:val="00477C3C"/>
    <w:rsid w:val="004800FD"/>
    <w:rsid w:val="004814DA"/>
    <w:rsid w:val="00482286"/>
    <w:rsid w:val="004828A4"/>
    <w:rsid w:val="00482D09"/>
    <w:rsid w:val="0048381B"/>
    <w:rsid w:val="00483C6D"/>
    <w:rsid w:val="004840E1"/>
    <w:rsid w:val="004842CD"/>
    <w:rsid w:val="0048465E"/>
    <w:rsid w:val="004855E7"/>
    <w:rsid w:val="004858E4"/>
    <w:rsid w:val="0048591D"/>
    <w:rsid w:val="00486E5B"/>
    <w:rsid w:val="00486ECD"/>
    <w:rsid w:val="00490989"/>
    <w:rsid w:val="00490A77"/>
    <w:rsid w:val="00490CC0"/>
    <w:rsid w:val="004919A9"/>
    <w:rsid w:val="00491C0D"/>
    <w:rsid w:val="00495B06"/>
    <w:rsid w:val="00496591"/>
    <w:rsid w:val="00496593"/>
    <w:rsid w:val="004A0377"/>
    <w:rsid w:val="004A1536"/>
    <w:rsid w:val="004A22A8"/>
    <w:rsid w:val="004A2F0E"/>
    <w:rsid w:val="004A2FF9"/>
    <w:rsid w:val="004A35B9"/>
    <w:rsid w:val="004A384A"/>
    <w:rsid w:val="004A40AD"/>
    <w:rsid w:val="004A4357"/>
    <w:rsid w:val="004A4FEF"/>
    <w:rsid w:val="004A7E31"/>
    <w:rsid w:val="004B065C"/>
    <w:rsid w:val="004B0DF2"/>
    <w:rsid w:val="004B1048"/>
    <w:rsid w:val="004B12BF"/>
    <w:rsid w:val="004B1710"/>
    <w:rsid w:val="004B3128"/>
    <w:rsid w:val="004B3AEB"/>
    <w:rsid w:val="004B3BBF"/>
    <w:rsid w:val="004B592A"/>
    <w:rsid w:val="004B5AA7"/>
    <w:rsid w:val="004B5F2F"/>
    <w:rsid w:val="004C0BFD"/>
    <w:rsid w:val="004C0CFD"/>
    <w:rsid w:val="004C0D5D"/>
    <w:rsid w:val="004C1028"/>
    <w:rsid w:val="004C12A9"/>
    <w:rsid w:val="004C2196"/>
    <w:rsid w:val="004C2F7C"/>
    <w:rsid w:val="004C325F"/>
    <w:rsid w:val="004C327D"/>
    <w:rsid w:val="004C352B"/>
    <w:rsid w:val="004C36E2"/>
    <w:rsid w:val="004C4714"/>
    <w:rsid w:val="004C5BC3"/>
    <w:rsid w:val="004C5C31"/>
    <w:rsid w:val="004C5DF5"/>
    <w:rsid w:val="004C63C4"/>
    <w:rsid w:val="004C745B"/>
    <w:rsid w:val="004C7575"/>
    <w:rsid w:val="004C7A70"/>
    <w:rsid w:val="004C7B43"/>
    <w:rsid w:val="004D0027"/>
    <w:rsid w:val="004D062E"/>
    <w:rsid w:val="004D078D"/>
    <w:rsid w:val="004D13BF"/>
    <w:rsid w:val="004D22E2"/>
    <w:rsid w:val="004D2558"/>
    <w:rsid w:val="004D3906"/>
    <w:rsid w:val="004D3DFC"/>
    <w:rsid w:val="004D47BF"/>
    <w:rsid w:val="004D4DE8"/>
    <w:rsid w:val="004D528F"/>
    <w:rsid w:val="004D53F2"/>
    <w:rsid w:val="004D55B3"/>
    <w:rsid w:val="004D5AAF"/>
    <w:rsid w:val="004D5CAF"/>
    <w:rsid w:val="004D6396"/>
    <w:rsid w:val="004D6686"/>
    <w:rsid w:val="004D6EA9"/>
    <w:rsid w:val="004D70F7"/>
    <w:rsid w:val="004D7208"/>
    <w:rsid w:val="004D7494"/>
    <w:rsid w:val="004D7874"/>
    <w:rsid w:val="004D7F47"/>
    <w:rsid w:val="004E02A0"/>
    <w:rsid w:val="004E030A"/>
    <w:rsid w:val="004E0522"/>
    <w:rsid w:val="004E0632"/>
    <w:rsid w:val="004E06A4"/>
    <w:rsid w:val="004E0922"/>
    <w:rsid w:val="004E14F1"/>
    <w:rsid w:val="004E1873"/>
    <w:rsid w:val="004E21F3"/>
    <w:rsid w:val="004E22E1"/>
    <w:rsid w:val="004E35AC"/>
    <w:rsid w:val="004E3A77"/>
    <w:rsid w:val="004E40EB"/>
    <w:rsid w:val="004E4203"/>
    <w:rsid w:val="004E42E1"/>
    <w:rsid w:val="004E4558"/>
    <w:rsid w:val="004E47A4"/>
    <w:rsid w:val="004E4D9B"/>
    <w:rsid w:val="004E4F8D"/>
    <w:rsid w:val="004E5D8A"/>
    <w:rsid w:val="004E5F8F"/>
    <w:rsid w:val="004E603F"/>
    <w:rsid w:val="004E7BE4"/>
    <w:rsid w:val="004F003B"/>
    <w:rsid w:val="004F0098"/>
    <w:rsid w:val="004F0499"/>
    <w:rsid w:val="004F118C"/>
    <w:rsid w:val="004F1804"/>
    <w:rsid w:val="004F207F"/>
    <w:rsid w:val="004F24B5"/>
    <w:rsid w:val="004F29A2"/>
    <w:rsid w:val="004F2B2B"/>
    <w:rsid w:val="004F2D70"/>
    <w:rsid w:val="004F32D2"/>
    <w:rsid w:val="004F45BE"/>
    <w:rsid w:val="004F499F"/>
    <w:rsid w:val="004F55C8"/>
    <w:rsid w:val="004F5FFA"/>
    <w:rsid w:val="004F6490"/>
    <w:rsid w:val="004F773B"/>
    <w:rsid w:val="00500C20"/>
    <w:rsid w:val="00501845"/>
    <w:rsid w:val="00501B17"/>
    <w:rsid w:val="00502112"/>
    <w:rsid w:val="00502305"/>
    <w:rsid w:val="0050259F"/>
    <w:rsid w:val="00503AF5"/>
    <w:rsid w:val="00503D49"/>
    <w:rsid w:val="00503D73"/>
    <w:rsid w:val="00504584"/>
    <w:rsid w:val="00505304"/>
    <w:rsid w:val="0050560D"/>
    <w:rsid w:val="00505CB2"/>
    <w:rsid w:val="005067A6"/>
    <w:rsid w:val="00510EE5"/>
    <w:rsid w:val="00511DE9"/>
    <w:rsid w:val="00511E4A"/>
    <w:rsid w:val="0051224B"/>
    <w:rsid w:val="00512358"/>
    <w:rsid w:val="00512C42"/>
    <w:rsid w:val="00512E61"/>
    <w:rsid w:val="00513A6C"/>
    <w:rsid w:val="00513B49"/>
    <w:rsid w:val="00514E95"/>
    <w:rsid w:val="00514F19"/>
    <w:rsid w:val="00515E84"/>
    <w:rsid w:val="005163D8"/>
    <w:rsid w:val="00516986"/>
    <w:rsid w:val="005170C8"/>
    <w:rsid w:val="00517388"/>
    <w:rsid w:val="005173F1"/>
    <w:rsid w:val="005174E0"/>
    <w:rsid w:val="00517DAF"/>
    <w:rsid w:val="005203D8"/>
    <w:rsid w:val="005204AA"/>
    <w:rsid w:val="005209EA"/>
    <w:rsid w:val="0052101F"/>
    <w:rsid w:val="005227F4"/>
    <w:rsid w:val="005232F1"/>
    <w:rsid w:val="00523CBD"/>
    <w:rsid w:val="0052460E"/>
    <w:rsid w:val="00524B40"/>
    <w:rsid w:val="005252A3"/>
    <w:rsid w:val="005255A9"/>
    <w:rsid w:val="00525703"/>
    <w:rsid w:val="005257B1"/>
    <w:rsid w:val="00525949"/>
    <w:rsid w:val="00525AC9"/>
    <w:rsid w:val="00527DA3"/>
    <w:rsid w:val="00530B51"/>
    <w:rsid w:val="00530E33"/>
    <w:rsid w:val="00531273"/>
    <w:rsid w:val="005312EA"/>
    <w:rsid w:val="005314D5"/>
    <w:rsid w:val="005322BE"/>
    <w:rsid w:val="0053265E"/>
    <w:rsid w:val="00532972"/>
    <w:rsid w:val="005332FC"/>
    <w:rsid w:val="005334BE"/>
    <w:rsid w:val="00533E26"/>
    <w:rsid w:val="00533EE4"/>
    <w:rsid w:val="00534739"/>
    <w:rsid w:val="0053491D"/>
    <w:rsid w:val="005361C1"/>
    <w:rsid w:val="00536898"/>
    <w:rsid w:val="00536AD1"/>
    <w:rsid w:val="00537535"/>
    <w:rsid w:val="00540B68"/>
    <w:rsid w:val="005425C5"/>
    <w:rsid w:val="00543254"/>
    <w:rsid w:val="00543861"/>
    <w:rsid w:val="00543EB0"/>
    <w:rsid w:val="0054428C"/>
    <w:rsid w:val="00544346"/>
    <w:rsid w:val="00544CF7"/>
    <w:rsid w:val="00544EE4"/>
    <w:rsid w:val="0054508C"/>
    <w:rsid w:val="005457F5"/>
    <w:rsid w:val="00545ED1"/>
    <w:rsid w:val="0054622B"/>
    <w:rsid w:val="00546EAC"/>
    <w:rsid w:val="0054792F"/>
    <w:rsid w:val="00547957"/>
    <w:rsid w:val="00547A28"/>
    <w:rsid w:val="005512EF"/>
    <w:rsid w:val="005512F8"/>
    <w:rsid w:val="0055152E"/>
    <w:rsid w:val="00552336"/>
    <w:rsid w:val="00553A17"/>
    <w:rsid w:val="005545F4"/>
    <w:rsid w:val="005550D2"/>
    <w:rsid w:val="005555B5"/>
    <w:rsid w:val="00555F0C"/>
    <w:rsid w:val="0056000B"/>
    <w:rsid w:val="00560A1C"/>
    <w:rsid w:val="005615AB"/>
    <w:rsid w:val="00561FDD"/>
    <w:rsid w:val="005626F8"/>
    <w:rsid w:val="005627A7"/>
    <w:rsid w:val="005634F8"/>
    <w:rsid w:val="0056408B"/>
    <w:rsid w:val="00564606"/>
    <w:rsid w:val="00564B3C"/>
    <w:rsid w:val="0056548F"/>
    <w:rsid w:val="005669F1"/>
    <w:rsid w:val="00566C7F"/>
    <w:rsid w:val="00567AA3"/>
    <w:rsid w:val="00567C7C"/>
    <w:rsid w:val="00567CEE"/>
    <w:rsid w:val="00567D54"/>
    <w:rsid w:val="005700B4"/>
    <w:rsid w:val="005701FB"/>
    <w:rsid w:val="00571024"/>
    <w:rsid w:val="00571E10"/>
    <w:rsid w:val="00571EA3"/>
    <w:rsid w:val="005731F0"/>
    <w:rsid w:val="005733E6"/>
    <w:rsid w:val="00573514"/>
    <w:rsid w:val="005737BD"/>
    <w:rsid w:val="00573875"/>
    <w:rsid w:val="00574725"/>
    <w:rsid w:val="00574B43"/>
    <w:rsid w:val="005750E8"/>
    <w:rsid w:val="0057533E"/>
    <w:rsid w:val="00575EE7"/>
    <w:rsid w:val="00577A59"/>
    <w:rsid w:val="0058194A"/>
    <w:rsid w:val="0058195C"/>
    <w:rsid w:val="00581E60"/>
    <w:rsid w:val="00582E28"/>
    <w:rsid w:val="00582FCC"/>
    <w:rsid w:val="00583237"/>
    <w:rsid w:val="0058396D"/>
    <w:rsid w:val="00583E4F"/>
    <w:rsid w:val="00583FF2"/>
    <w:rsid w:val="00584520"/>
    <w:rsid w:val="00584BD3"/>
    <w:rsid w:val="00584C6D"/>
    <w:rsid w:val="00584E03"/>
    <w:rsid w:val="005852E1"/>
    <w:rsid w:val="00586251"/>
    <w:rsid w:val="005864D9"/>
    <w:rsid w:val="00586CE0"/>
    <w:rsid w:val="005871F3"/>
    <w:rsid w:val="0058731E"/>
    <w:rsid w:val="00587A39"/>
    <w:rsid w:val="0059000E"/>
    <w:rsid w:val="00591415"/>
    <w:rsid w:val="00591897"/>
    <w:rsid w:val="005918BA"/>
    <w:rsid w:val="00591CD2"/>
    <w:rsid w:val="00592438"/>
    <w:rsid w:val="00592CFA"/>
    <w:rsid w:val="00593042"/>
    <w:rsid w:val="005935B9"/>
    <w:rsid w:val="00594315"/>
    <w:rsid w:val="0059453D"/>
    <w:rsid w:val="00594A96"/>
    <w:rsid w:val="00594C91"/>
    <w:rsid w:val="00594DB2"/>
    <w:rsid w:val="00596D66"/>
    <w:rsid w:val="005978ED"/>
    <w:rsid w:val="005A0714"/>
    <w:rsid w:val="005A08E4"/>
    <w:rsid w:val="005A122E"/>
    <w:rsid w:val="005A22E6"/>
    <w:rsid w:val="005A23DD"/>
    <w:rsid w:val="005A3563"/>
    <w:rsid w:val="005A37A1"/>
    <w:rsid w:val="005A44DA"/>
    <w:rsid w:val="005A5B3C"/>
    <w:rsid w:val="005A5E2D"/>
    <w:rsid w:val="005A6631"/>
    <w:rsid w:val="005A715B"/>
    <w:rsid w:val="005A7367"/>
    <w:rsid w:val="005A7491"/>
    <w:rsid w:val="005A75B6"/>
    <w:rsid w:val="005B0240"/>
    <w:rsid w:val="005B09AD"/>
    <w:rsid w:val="005B0FB9"/>
    <w:rsid w:val="005B11DD"/>
    <w:rsid w:val="005B1EE0"/>
    <w:rsid w:val="005B27BC"/>
    <w:rsid w:val="005B2C47"/>
    <w:rsid w:val="005B2CF9"/>
    <w:rsid w:val="005B3438"/>
    <w:rsid w:val="005B5D7D"/>
    <w:rsid w:val="005B5F8D"/>
    <w:rsid w:val="005B658F"/>
    <w:rsid w:val="005B6954"/>
    <w:rsid w:val="005B739D"/>
    <w:rsid w:val="005C0046"/>
    <w:rsid w:val="005C0498"/>
    <w:rsid w:val="005C27CD"/>
    <w:rsid w:val="005C3059"/>
    <w:rsid w:val="005C3317"/>
    <w:rsid w:val="005C41D5"/>
    <w:rsid w:val="005C4C39"/>
    <w:rsid w:val="005C51AB"/>
    <w:rsid w:val="005C556B"/>
    <w:rsid w:val="005C6B01"/>
    <w:rsid w:val="005C73CE"/>
    <w:rsid w:val="005C7C1D"/>
    <w:rsid w:val="005D0264"/>
    <w:rsid w:val="005D02A7"/>
    <w:rsid w:val="005D09CA"/>
    <w:rsid w:val="005D0E62"/>
    <w:rsid w:val="005D1800"/>
    <w:rsid w:val="005D19A2"/>
    <w:rsid w:val="005D1E58"/>
    <w:rsid w:val="005D31F7"/>
    <w:rsid w:val="005D336F"/>
    <w:rsid w:val="005D3F7F"/>
    <w:rsid w:val="005D40C8"/>
    <w:rsid w:val="005D4DF2"/>
    <w:rsid w:val="005D54A7"/>
    <w:rsid w:val="005D5502"/>
    <w:rsid w:val="005D6234"/>
    <w:rsid w:val="005D780F"/>
    <w:rsid w:val="005D7D2B"/>
    <w:rsid w:val="005E01E3"/>
    <w:rsid w:val="005E0B97"/>
    <w:rsid w:val="005E1512"/>
    <w:rsid w:val="005E30FB"/>
    <w:rsid w:val="005E367A"/>
    <w:rsid w:val="005E3BA2"/>
    <w:rsid w:val="005E48C7"/>
    <w:rsid w:val="005E50D2"/>
    <w:rsid w:val="005E64F0"/>
    <w:rsid w:val="005E6B3C"/>
    <w:rsid w:val="005E7F8A"/>
    <w:rsid w:val="005F0436"/>
    <w:rsid w:val="005F103D"/>
    <w:rsid w:val="005F129A"/>
    <w:rsid w:val="005F17B2"/>
    <w:rsid w:val="005F1CA2"/>
    <w:rsid w:val="005F1F1B"/>
    <w:rsid w:val="005F241F"/>
    <w:rsid w:val="005F3716"/>
    <w:rsid w:val="005F3813"/>
    <w:rsid w:val="005F39D9"/>
    <w:rsid w:val="005F3A99"/>
    <w:rsid w:val="005F44D3"/>
    <w:rsid w:val="005F5DB1"/>
    <w:rsid w:val="005F63F6"/>
    <w:rsid w:val="005F737D"/>
    <w:rsid w:val="005F78DF"/>
    <w:rsid w:val="00600CF8"/>
    <w:rsid w:val="00600D75"/>
    <w:rsid w:val="00601135"/>
    <w:rsid w:val="006013CD"/>
    <w:rsid w:val="00601B0F"/>
    <w:rsid w:val="00601C4D"/>
    <w:rsid w:val="006022AC"/>
    <w:rsid w:val="006022E8"/>
    <w:rsid w:val="006055A5"/>
    <w:rsid w:val="0060592B"/>
    <w:rsid w:val="00605951"/>
    <w:rsid w:val="006062E9"/>
    <w:rsid w:val="00606304"/>
    <w:rsid w:val="006066B7"/>
    <w:rsid w:val="00606902"/>
    <w:rsid w:val="00606EC4"/>
    <w:rsid w:val="00606F70"/>
    <w:rsid w:val="00607B20"/>
    <w:rsid w:val="00607C8A"/>
    <w:rsid w:val="00610357"/>
    <w:rsid w:val="0061039C"/>
    <w:rsid w:val="0061128C"/>
    <w:rsid w:val="00611530"/>
    <w:rsid w:val="006123D1"/>
    <w:rsid w:val="00612CE2"/>
    <w:rsid w:val="00612D75"/>
    <w:rsid w:val="00613088"/>
    <w:rsid w:val="006136DB"/>
    <w:rsid w:val="00613D0D"/>
    <w:rsid w:val="0061406E"/>
    <w:rsid w:val="00614C5F"/>
    <w:rsid w:val="0061713B"/>
    <w:rsid w:val="00617495"/>
    <w:rsid w:val="00617710"/>
    <w:rsid w:val="00617889"/>
    <w:rsid w:val="006178B6"/>
    <w:rsid w:val="00617B88"/>
    <w:rsid w:val="00620C22"/>
    <w:rsid w:val="00621341"/>
    <w:rsid w:val="0062266D"/>
    <w:rsid w:val="00622A63"/>
    <w:rsid w:val="00623B7D"/>
    <w:rsid w:val="006246D2"/>
    <w:rsid w:val="00624F3F"/>
    <w:rsid w:val="00625EB6"/>
    <w:rsid w:val="00626F8A"/>
    <w:rsid w:val="0062742C"/>
    <w:rsid w:val="0062796D"/>
    <w:rsid w:val="00627B6A"/>
    <w:rsid w:val="00630A78"/>
    <w:rsid w:val="006317E8"/>
    <w:rsid w:val="00632475"/>
    <w:rsid w:val="00632E03"/>
    <w:rsid w:val="00633141"/>
    <w:rsid w:val="00634193"/>
    <w:rsid w:val="00634DDA"/>
    <w:rsid w:val="00635808"/>
    <w:rsid w:val="00635854"/>
    <w:rsid w:val="00635C68"/>
    <w:rsid w:val="00635F76"/>
    <w:rsid w:val="00636098"/>
    <w:rsid w:val="00637090"/>
    <w:rsid w:val="00642325"/>
    <w:rsid w:val="0064261E"/>
    <w:rsid w:val="00642978"/>
    <w:rsid w:val="00644162"/>
    <w:rsid w:val="00644A1B"/>
    <w:rsid w:val="00645266"/>
    <w:rsid w:val="00646E5E"/>
    <w:rsid w:val="006473B1"/>
    <w:rsid w:val="006478F0"/>
    <w:rsid w:val="00647A5C"/>
    <w:rsid w:val="00650256"/>
    <w:rsid w:val="00651227"/>
    <w:rsid w:val="00653194"/>
    <w:rsid w:val="00653D91"/>
    <w:rsid w:val="00654671"/>
    <w:rsid w:val="00654A85"/>
    <w:rsid w:val="00655721"/>
    <w:rsid w:val="006558CB"/>
    <w:rsid w:val="0065634E"/>
    <w:rsid w:val="0065649A"/>
    <w:rsid w:val="00656A72"/>
    <w:rsid w:val="00657E5B"/>
    <w:rsid w:val="006624FF"/>
    <w:rsid w:val="00662BF7"/>
    <w:rsid w:val="0066372F"/>
    <w:rsid w:val="00663A93"/>
    <w:rsid w:val="00663F5D"/>
    <w:rsid w:val="00664420"/>
    <w:rsid w:val="00664872"/>
    <w:rsid w:val="00664D32"/>
    <w:rsid w:val="006651EF"/>
    <w:rsid w:val="00665333"/>
    <w:rsid w:val="00666BF6"/>
    <w:rsid w:val="0066773F"/>
    <w:rsid w:val="006702C3"/>
    <w:rsid w:val="00670B08"/>
    <w:rsid w:val="00670BE7"/>
    <w:rsid w:val="006710AC"/>
    <w:rsid w:val="006721D8"/>
    <w:rsid w:val="0067307A"/>
    <w:rsid w:val="00673236"/>
    <w:rsid w:val="0067325D"/>
    <w:rsid w:val="00673366"/>
    <w:rsid w:val="00674102"/>
    <w:rsid w:val="006743DD"/>
    <w:rsid w:val="006750A8"/>
    <w:rsid w:val="0067584F"/>
    <w:rsid w:val="00675BC5"/>
    <w:rsid w:val="006760D0"/>
    <w:rsid w:val="006778F0"/>
    <w:rsid w:val="00680F0F"/>
    <w:rsid w:val="00680F4E"/>
    <w:rsid w:val="0068222A"/>
    <w:rsid w:val="00682387"/>
    <w:rsid w:val="00683C3D"/>
    <w:rsid w:val="00684141"/>
    <w:rsid w:val="00684E34"/>
    <w:rsid w:val="00684F63"/>
    <w:rsid w:val="00684F89"/>
    <w:rsid w:val="00685095"/>
    <w:rsid w:val="0068542B"/>
    <w:rsid w:val="00685FA7"/>
    <w:rsid w:val="00686025"/>
    <w:rsid w:val="00686EAE"/>
    <w:rsid w:val="0068710B"/>
    <w:rsid w:val="00687522"/>
    <w:rsid w:val="00687A49"/>
    <w:rsid w:val="00687BB2"/>
    <w:rsid w:val="006901AC"/>
    <w:rsid w:val="00690225"/>
    <w:rsid w:val="00690EC9"/>
    <w:rsid w:val="00690F04"/>
    <w:rsid w:val="0069177A"/>
    <w:rsid w:val="00691B85"/>
    <w:rsid w:val="00692D3F"/>
    <w:rsid w:val="0069334D"/>
    <w:rsid w:val="00693642"/>
    <w:rsid w:val="00694252"/>
    <w:rsid w:val="00694513"/>
    <w:rsid w:val="00694B62"/>
    <w:rsid w:val="006954A2"/>
    <w:rsid w:val="00695B02"/>
    <w:rsid w:val="00696F37"/>
    <w:rsid w:val="006A01F1"/>
    <w:rsid w:val="006A0898"/>
    <w:rsid w:val="006A0B29"/>
    <w:rsid w:val="006A1105"/>
    <w:rsid w:val="006A1C0B"/>
    <w:rsid w:val="006A1D11"/>
    <w:rsid w:val="006A2BE1"/>
    <w:rsid w:val="006A2BEF"/>
    <w:rsid w:val="006A3180"/>
    <w:rsid w:val="006A32C7"/>
    <w:rsid w:val="006A474D"/>
    <w:rsid w:val="006A4935"/>
    <w:rsid w:val="006A52F1"/>
    <w:rsid w:val="006A5474"/>
    <w:rsid w:val="006A5524"/>
    <w:rsid w:val="006A75F5"/>
    <w:rsid w:val="006B1182"/>
    <w:rsid w:val="006B1856"/>
    <w:rsid w:val="006B19B2"/>
    <w:rsid w:val="006B1A5A"/>
    <w:rsid w:val="006B40C3"/>
    <w:rsid w:val="006B44A2"/>
    <w:rsid w:val="006B62F2"/>
    <w:rsid w:val="006B707B"/>
    <w:rsid w:val="006B7A06"/>
    <w:rsid w:val="006C158E"/>
    <w:rsid w:val="006C1A86"/>
    <w:rsid w:val="006C1AB5"/>
    <w:rsid w:val="006C1B84"/>
    <w:rsid w:val="006C2470"/>
    <w:rsid w:val="006C268D"/>
    <w:rsid w:val="006C3144"/>
    <w:rsid w:val="006C3B41"/>
    <w:rsid w:val="006C4944"/>
    <w:rsid w:val="006C4C2B"/>
    <w:rsid w:val="006C5FD2"/>
    <w:rsid w:val="006C7272"/>
    <w:rsid w:val="006D0C92"/>
    <w:rsid w:val="006D0EC4"/>
    <w:rsid w:val="006D37A8"/>
    <w:rsid w:val="006D380B"/>
    <w:rsid w:val="006D391B"/>
    <w:rsid w:val="006D40D3"/>
    <w:rsid w:val="006D4630"/>
    <w:rsid w:val="006D4CED"/>
    <w:rsid w:val="006D5B6A"/>
    <w:rsid w:val="006D64FB"/>
    <w:rsid w:val="006D67D5"/>
    <w:rsid w:val="006D6DA3"/>
    <w:rsid w:val="006D6DDD"/>
    <w:rsid w:val="006D6FAA"/>
    <w:rsid w:val="006D7A02"/>
    <w:rsid w:val="006D7E78"/>
    <w:rsid w:val="006E0087"/>
    <w:rsid w:val="006E0BD0"/>
    <w:rsid w:val="006E1416"/>
    <w:rsid w:val="006E1588"/>
    <w:rsid w:val="006E15B8"/>
    <w:rsid w:val="006E1B5D"/>
    <w:rsid w:val="006E1EA8"/>
    <w:rsid w:val="006E2AA1"/>
    <w:rsid w:val="006E2EA5"/>
    <w:rsid w:val="006E3B16"/>
    <w:rsid w:val="006E4421"/>
    <w:rsid w:val="006E4A2C"/>
    <w:rsid w:val="006E55F9"/>
    <w:rsid w:val="006E6751"/>
    <w:rsid w:val="006E6FB8"/>
    <w:rsid w:val="006E7035"/>
    <w:rsid w:val="006E7918"/>
    <w:rsid w:val="006F04DF"/>
    <w:rsid w:val="006F07FD"/>
    <w:rsid w:val="006F178B"/>
    <w:rsid w:val="006F1AEF"/>
    <w:rsid w:val="006F22DD"/>
    <w:rsid w:val="006F2387"/>
    <w:rsid w:val="006F25E2"/>
    <w:rsid w:val="006F2BF4"/>
    <w:rsid w:val="006F31F8"/>
    <w:rsid w:val="006F33F7"/>
    <w:rsid w:val="006F3FB3"/>
    <w:rsid w:val="006F589C"/>
    <w:rsid w:val="006F6534"/>
    <w:rsid w:val="006F6EE6"/>
    <w:rsid w:val="006F7402"/>
    <w:rsid w:val="006F758D"/>
    <w:rsid w:val="006F7A0A"/>
    <w:rsid w:val="006F7B60"/>
    <w:rsid w:val="0070018B"/>
    <w:rsid w:val="00700FB7"/>
    <w:rsid w:val="007014BC"/>
    <w:rsid w:val="00701668"/>
    <w:rsid w:val="00701913"/>
    <w:rsid w:val="007021A5"/>
    <w:rsid w:val="00702C2C"/>
    <w:rsid w:val="0070343A"/>
    <w:rsid w:val="0070381F"/>
    <w:rsid w:val="0070514B"/>
    <w:rsid w:val="007058D8"/>
    <w:rsid w:val="007060AE"/>
    <w:rsid w:val="00706299"/>
    <w:rsid w:val="007068E1"/>
    <w:rsid w:val="00706BF5"/>
    <w:rsid w:val="007077E2"/>
    <w:rsid w:val="0071058A"/>
    <w:rsid w:val="0071071D"/>
    <w:rsid w:val="007108D2"/>
    <w:rsid w:val="007111E9"/>
    <w:rsid w:val="0071220D"/>
    <w:rsid w:val="00712701"/>
    <w:rsid w:val="00712A3C"/>
    <w:rsid w:val="00712C30"/>
    <w:rsid w:val="00713246"/>
    <w:rsid w:val="007137A4"/>
    <w:rsid w:val="0071408A"/>
    <w:rsid w:val="00714A6B"/>
    <w:rsid w:val="00714DC8"/>
    <w:rsid w:val="00714E66"/>
    <w:rsid w:val="007158F5"/>
    <w:rsid w:val="00715CBB"/>
    <w:rsid w:val="00715F2D"/>
    <w:rsid w:val="00715F89"/>
    <w:rsid w:val="00716331"/>
    <w:rsid w:val="00716920"/>
    <w:rsid w:val="0071730D"/>
    <w:rsid w:val="0071762D"/>
    <w:rsid w:val="00717AD2"/>
    <w:rsid w:val="00717EAF"/>
    <w:rsid w:val="0072001F"/>
    <w:rsid w:val="007204E6"/>
    <w:rsid w:val="00721269"/>
    <w:rsid w:val="00721CCE"/>
    <w:rsid w:val="00723385"/>
    <w:rsid w:val="00724C00"/>
    <w:rsid w:val="00725773"/>
    <w:rsid w:val="00725CF7"/>
    <w:rsid w:val="00725D4B"/>
    <w:rsid w:val="00726036"/>
    <w:rsid w:val="00727A99"/>
    <w:rsid w:val="00727AD8"/>
    <w:rsid w:val="007301D6"/>
    <w:rsid w:val="00730996"/>
    <w:rsid w:val="007311D3"/>
    <w:rsid w:val="007327A1"/>
    <w:rsid w:val="0073327D"/>
    <w:rsid w:val="00733518"/>
    <w:rsid w:val="0073358D"/>
    <w:rsid w:val="007340AE"/>
    <w:rsid w:val="00734597"/>
    <w:rsid w:val="0073475D"/>
    <w:rsid w:val="007349F2"/>
    <w:rsid w:val="00735026"/>
    <w:rsid w:val="00735F65"/>
    <w:rsid w:val="00736183"/>
    <w:rsid w:val="007362C7"/>
    <w:rsid w:val="0073693F"/>
    <w:rsid w:val="00736EEE"/>
    <w:rsid w:val="00737CC8"/>
    <w:rsid w:val="00740CE5"/>
    <w:rsid w:val="0074106C"/>
    <w:rsid w:val="00741AB1"/>
    <w:rsid w:val="0074262E"/>
    <w:rsid w:val="00743BC7"/>
    <w:rsid w:val="00743C3B"/>
    <w:rsid w:val="00744CBC"/>
    <w:rsid w:val="0074601C"/>
    <w:rsid w:val="0074649D"/>
    <w:rsid w:val="00746C54"/>
    <w:rsid w:val="0074704F"/>
    <w:rsid w:val="007475A0"/>
    <w:rsid w:val="0074795A"/>
    <w:rsid w:val="007479CD"/>
    <w:rsid w:val="00747D6C"/>
    <w:rsid w:val="007510D1"/>
    <w:rsid w:val="007515F1"/>
    <w:rsid w:val="007518B8"/>
    <w:rsid w:val="00751ADA"/>
    <w:rsid w:val="007520F3"/>
    <w:rsid w:val="007521CF"/>
    <w:rsid w:val="0075245E"/>
    <w:rsid w:val="00752A26"/>
    <w:rsid w:val="007534DE"/>
    <w:rsid w:val="00753A15"/>
    <w:rsid w:val="00755358"/>
    <w:rsid w:val="00755A1E"/>
    <w:rsid w:val="00756850"/>
    <w:rsid w:val="00756885"/>
    <w:rsid w:val="00756F70"/>
    <w:rsid w:val="00757006"/>
    <w:rsid w:val="0075729D"/>
    <w:rsid w:val="00757BA2"/>
    <w:rsid w:val="00757CEA"/>
    <w:rsid w:val="00760A63"/>
    <w:rsid w:val="00760AD7"/>
    <w:rsid w:val="00760D48"/>
    <w:rsid w:val="00761016"/>
    <w:rsid w:val="00761689"/>
    <w:rsid w:val="007616DA"/>
    <w:rsid w:val="00761BC5"/>
    <w:rsid w:val="007628C3"/>
    <w:rsid w:val="00762F18"/>
    <w:rsid w:val="00763194"/>
    <w:rsid w:val="00763561"/>
    <w:rsid w:val="00763DDA"/>
    <w:rsid w:val="00764849"/>
    <w:rsid w:val="00764B5B"/>
    <w:rsid w:val="00765CA8"/>
    <w:rsid w:val="0077169E"/>
    <w:rsid w:val="007721B8"/>
    <w:rsid w:val="00772440"/>
    <w:rsid w:val="0077265B"/>
    <w:rsid w:val="007730A4"/>
    <w:rsid w:val="00773695"/>
    <w:rsid w:val="0077401E"/>
    <w:rsid w:val="0077440A"/>
    <w:rsid w:val="0077653B"/>
    <w:rsid w:val="007766A7"/>
    <w:rsid w:val="00776986"/>
    <w:rsid w:val="00777FF0"/>
    <w:rsid w:val="0078002C"/>
    <w:rsid w:val="007804AC"/>
    <w:rsid w:val="00780CDC"/>
    <w:rsid w:val="0078142D"/>
    <w:rsid w:val="00782671"/>
    <w:rsid w:val="00783198"/>
    <w:rsid w:val="007833FB"/>
    <w:rsid w:val="00783A77"/>
    <w:rsid w:val="0078456D"/>
    <w:rsid w:val="0078498C"/>
    <w:rsid w:val="00785502"/>
    <w:rsid w:val="00786495"/>
    <w:rsid w:val="007867CA"/>
    <w:rsid w:val="00786FBB"/>
    <w:rsid w:val="007871AF"/>
    <w:rsid w:val="007874B7"/>
    <w:rsid w:val="00787B9A"/>
    <w:rsid w:val="00787D2A"/>
    <w:rsid w:val="0079147C"/>
    <w:rsid w:val="00791771"/>
    <w:rsid w:val="0079238F"/>
    <w:rsid w:val="00792B11"/>
    <w:rsid w:val="00792C91"/>
    <w:rsid w:val="00792D32"/>
    <w:rsid w:val="007931C3"/>
    <w:rsid w:val="007939FA"/>
    <w:rsid w:val="00793A20"/>
    <w:rsid w:val="00797241"/>
    <w:rsid w:val="007974DB"/>
    <w:rsid w:val="007A0604"/>
    <w:rsid w:val="007A14A3"/>
    <w:rsid w:val="007A2B66"/>
    <w:rsid w:val="007A30EA"/>
    <w:rsid w:val="007A3275"/>
    <w:rsid w:val="007A33F0"/>
    <w:rsid w:val="007A4344"/>
    <w:rsid w:val="007A4ACD"/>
    <w:rsid w:val="007A553A"/>
    <w:rsid w:val="007A5A68"/>
    <w:rsid w:val="007A69A5"/>
    <w:rsid w:val="007B0B8C"/>
    <w:rsid w:val="007B13A7"/>
    <w:rsid w:val="007B1690"/>
    <w:rsid w:val="007B3658"/>
    <w:rsid w:val="007B369E"/>
    <w:rsid w:val="007B403F"/>
    <w:rsid w:val="007B50D1"/>
    <w:rsid w:val="007B5DB5"/>
    <w:rsid w:val="007B6BDD"/>
    <w:rsid w:val="007B758E"/>
    <w:rsid w:val="007B76D2"/>
    <w:rsid w:val="007B7800"/>
    <w:rsid w:val="007C0ABD"/>
    <w:rsid w:val="007C11D3"/>
    <w:rsid w:val="007C2C15"/>
    <w:rsid w:val="007C3503"/>
    <w:rsid w:val="007C4D5F"/>
    <w:rsid w:val="007C50B8"/>
    <w:rsid w:val="007C5E02"/>
    <w:rsid w:val="007C68D2"/>
    <w:rsid w:val="007C6AC7"/>
    <w:rsid w:val="007C7586"/>
    <w:rsid w:val="007C7B25"/>
    <w:rsid w:val="007C7B2D"/>
    <w:rsid w:val="007C7D85"/>
    <w:rsid w:val="007D02AE"/>
    <w:rsid w:val="007D0600"/>
    <w:rsid w:val="007D13DD"/>
    <w:rsid w:val="007D2593"/>
    <w:rsid w:val="007D28C7"/>
    <w:rsid w:val="007D42C3"/>
    <w:rsid w:val="007D5560"/>
    <w:rsid w:val="007D58D9"/>
    <w:rsid w:val="007D5A72"/>
    <w:rsid w:val="007D6401"/>
    <w:rsid w:val="007D684D"/>
    <w:rsid w:val="007D6D7F"/>
    <w:rsid w:val="007D72A7"/>
    <w:rsid w:val="007D79CC"/>
    <w:rsid w:val="007D7D3E"/>
    <w:rsid w:val="007E0181"/>
    <w:rsid w:val="007E04A7"/>
    <w:rsid w:val="007E1121"/>
    <w:rsid w:val="007E11C6"/>
    <w:rsid w:val="007E1B75"/>
    <w:rsid w:val="007E27EE"/>
    <w:rsid w:val="007E2E23"/>
    <w:rsid w:val="007E3802"/>
    <w:rsid w:val="007E4AFA"/>
    <w:rsid w:val="007E51BF"/>
    <w:rsid w:val="007E5F8E"/>
    <w:rsid w:val="007E7D26"/>
    <w:rsid w:val="007F02F1"/>
    <w:rsid w:val="007F0BFA"/>
    <w:rsid w:val="007F0ECE"/>
    <w:rsid w:val="007F0F93"/>
    <w:rsid w:val="007F161B"/>
    <w:rsid w:val="007F18DD"/>
    <w:rsid w:val="007F2334"/>
    <w:rsid w:val="007F245F"/>
    <w:rsid w:val="007F24AE"/>
    <w:rsid w:val="007F2AED"/>
    <w:rsid w:val="007F3297"/>
    <w:rsid w:val="007F3697"/>
    <w:rsid w:val="007F3E74"/>
    <w:rsid w:val="007F4928"/>
    <w:rsid w:val="007F4BA2"/>
    <w:rsid w:val="007F51AE"/>
    <w:rsid w:val="007F58AF"/>
    <w:rsid w:val="007F6367"/>
    <w:rsid w:val="007F6587"/>
    <w:rsid w:val="007F6967"/>
    <w:rsid w:val="007F7356"/>
    <w:rsid w:val="007F7A61"/>
    <w:rsid w:val="007F7BA8"/>
    <w:rsid w:val="007F7FDC"/>
    <w:rsid w:val="00800FC6"/>
    <w:rsid w:val="008015AA"/>
    <w:rsid w:val="0080202C"/>
    <w:rsid w:val="00802168"/>
    <w:rsid w:val="00803E3C"/>
    <w:rsid w:val="00803E99"/>
    <w:rsid w:val="00804000"/>
    <w:rsid w:val="00805D95"/>
    <w:rsid w:val="00806514"/>
    <w:rsid w:val="00807EF6"/>
    <w:rsid w:val="00810ECD"/>
    <w:rsid w:val="008126E6"/>
    <w:rsid w:val="00813FF1"/>
    <w:rsid w:val="00814FAD"/>
    <w:rsid w:val="00816E18"/>
    <w:rsid w:val="00817525"/>
    <w:rsid w:val="00817F5F"/>
    <w:rsid w:val="0082017A"/>
    <w:rsid w:val="008213A1"/>
    <w:rsid w:val="008214D4"/>
    <w:rsid w:val="00821CAA"/>
    <w:rsid w:val="00821E8B"/>
    <w:rsid w:val="008228DD"/>
    <w:rsid w:val="008232CB"/>
    <w:rsid w:val="008235B2"/>
    <w:rsid w:val="00824759"/>
    <w:rsid w:val="00824AC6"/>
    <w:rsid w:val="008253A8"/>
    <w:rsid w:val="00825FFD"/>
    <w:rsid w:val="008264B2"/>
    <w:rsid w:val="008301D7"/>
    <w:rsid w:val="0083076D"/>
    <w:rsid w:val="00831305"/>
    <w:rsid w:val="00832776"/>
    <w:rsid w:val="0083477A"/>
    <w:rsid w:val="0083486F"/>
    <w:rsid w:val="0083527F"/>
    <w:rsid w:val="00835C0B"/>
    <w:rsid w:val="00836A66"/>
    <w:rsid w:val="00836CAC"/>
    <w:rsid w:val="00837013"/>
    <w:rsid w:val="008370A9"/>
    <w:rsid w:val="00837B02"/>
    <w:rsid w:val="0084043B"/>
    <w:rsid w:val="008426C2"/>
    <w:rsid w:val="0084275E"/>
    <w:rsid w:val="00842976"/>
    <w:rsid w:val="00842D13"/>
    <w:rsid w:val="008433AB"/>
    <w:rsid w:val="00843E25"/>
    <w:rsid w:val="00844A88"/>
    <w:rsid w:val="00844D35"/>
    <w:rsid w:val="0084550B"/>
    <w:rsid w:val="00845783"/>
    <w:rsid w:val="00845F03"/>
    <w:rsid w:val="00846E39"/>
    <w:rsid w:val="008509DD"/>
    <w:rsid w:val="00851FE5"/>
    <w:rsid w:val="008538A9"/>
    <w:rsid w:val="00853A59"/>
    <w:rsid w:val="00853CF4"/>
    <w:rsid w:val="00853F67"/>
    <w:rsid w:val="00853F9B"/>
    <w:rsid w:val="00855F7C"/>
    <w:rsid w:val="0085600D"/>
    <w:rsid w:val="008562C3"/>
    <w:rsid w:val="00856B07"/>
    <w:rsid w:val="00856C48"/>
    <w:rsid w:val="008574D1"/>
    <w:rsid w:val="0086084F"/>
    <w:rsid w:val="00860E5A"/>
    <w:rsid w:val="00861779"/>
    <w:rsid w:val="00861F6B"/>
    <w:rsid w:val="00865DB8"/>
    <w:rsid w:val="0086608F"/>
    <w:rsid w:val="00866DE3"/>
    <w:rsid w:val="0086703D"/>
    <w:rsid w:val="0087026D"/>
    <w:rsid w:val="008707FF"/>
    <w:rsid w:val="00870B32"/>
    <w:rsid w:val="0087114A"/>
    <w:rsid w:val="00871697"/>
    <w:rsid w:val="00871938"/>
    <w:rsid w:val="00873737"/>
    <w:rsid w:val="00874332"/>
    <w:rsid w:val="00875006"/>
    <w:rsid w:val="00875804"/>
    <w:rsid w:val="00875982"/>
    <w:rsid w:val="00875E2B"/>
    <w:rsid w:val="00877439"/>
    <w:rsid w:val="00877842"/>
    <w:rsid w:val="00877FB5"/>
    <w:rsid w:val="00880146"/>
    <w:rsid w:val="008804D9"/>
    <w:rsid w:val="0088130D"/>
    <w:rsid w:val="00881DE0"/>
    <w:rsid w:val="008822D7"/>
    <w:rsid w:val="008822F9"/>
    <w:rsid w:val="008834E7"/>
    <w:rsid w:val="008839DA"/>
    <w:rsid w:val="0088420E"/>
    <w:rsid w:val="008844C8"/>
    <w:rsid w:val="008855E6"/>
    <w:rsid w:val="008859EF"/>
    <w:rsid w:val="00885E6F"/>
    <w:rsid w:val="00886149"/>
    <w:rsid w:val="00886F61"/>
    <w:rsid w:val="00887A02"/>
    <w:rsid w:val="00891737"/>
    <w:rsid w:val="00893F87"/>
    <w:rsid w:val="00894160"/>
    <w:rsid w:val="008941CC"/>
    <w:rsid w:val="00894452"/>
    <w:rsid w:val="008963D3"/>
    <w:rsid w:val="0089654D"/>
    <w:rsid w:val="0089702F"/>
    <w:rsid w:val="00897CD6"/>
    <w:rsid w:val="008A00E2"/>
    <w:rsid w:val="008A12CE"/>
    <w:rsid w:val="008A2228"/>
    <w:rsid w:val="008A2BE5"/>
    <w:rsid w:val="008A33C5"/>
    <w:rsid w:val="008A365F"/>
    <w:rsid w:val="008A3BBF"/>
    <w:rsid w:val="008A3F06"/>
    <w:rsid w:val="008A4F9C"/>
    <w:rsid w:val="008A5889"/>
    <w:rsid w:val="008A5E43"/>
    <w:rsid w:val="008A6335"/>
    <w:rsid w:val="008A6623"/>
    <w:rsid w:val="008A6CE6"/>
    <w:rsid w:val="008A7842"/>
    <w:rsid w:val="008A7F95"/>
    <w:rsid w:val="008B0941"/>
    <w:rsid w:val="008B1219"/>
    <w:rsid w:val="008B2A4F"/>
    <w:rsid w:val="008B344A"/>
    <w:rsid w:val="008B3562"/>
    <w:rsid w:val="008B3776"/>
    <w:rsid w:val="008B4E76"/>
    <w:rsid w:val="008B54C2"/>
    <w:rsid w:val="008B586A"/>
    <w:rsid w:val="008B5A44"/>
    <w:rsid w:val="008B5ED2"/>
    <w:rsid w:val="008B6946"/>
    <w:rsid w:val="008B6998"/>
    <w:rsid w:val="008B75BF"/>
    <w:rsid w:val="008C0A6F"/>
    <w:rsid w:val="008C0C9C"/>
    <w:rsid w:val="008C142F"/>
    <w:rsid w:val="008C1BD7"/>
    <w:rsid w:val="008C1D13"/>
    <w:rsid w:val="008C2301"/>
    <w:rsid w:val="008C27B0"/>
    <w:rsid w:val="008C29E3"/>
    <w:rsid w:val="008C4110"/>
    <w:rsid w:val="008C5DD0"/>
    <w:rsid w:val="008C5FCD"/>
    <w:rsid w:val="008C60FE"/>
    <w:rsid w:val="008C78CE"/>
    <w:rsid w:val="008D1066"/>
    <w:rsid w:val="008D1E05"/>
    <w:rsid w:val="008D23E9"/>
    <w:rsid w:val="008D2EFE"/>
    <w:rsid w:val="008D3185"/>
    <w:rsid w:val="008D4032"/>
    <w:rsid w:val="008D4741"/>
    <w:rsid w:val="008D4A41"/>
    <w:rsid w:val="008D54D8"/>
    <w:rsid w:val="008D5DC7"/>
    <w:rsid w:val="008D5FD8"/>
    <w:rsid w:val="008D60A4"/>
    <w:rsid w:val="008D71F5"/>
    <w:rsid w:val="008D7C7F"/>
    <w:rsid w:val="008E0BAE"/>
    <w:rsid w:val="008E1582"/>
    <w:rsid w:val="008E159C"/>
    <w:rsid w:val="008E1C7B"/>
    <w:rsid w:val="008E1E25"/>
    <w:rsid w:val="008E2680"/>
    <w:rsid w:val="008E318B"/>
    <w:rsid w:val="008E3E70"/>
    <w:rsid w:val="008E4102"/>
    <w:rsid w:val="008E4688"/>
    <w:rsid w:val="008E4855"/>
    <w:rsid w:val="008E4F9F"/>
    <w:rsid w:val="008E5E0E"/>
    <w:rsid w:val="008E6A85"/>
    <w:rsid w:val="008E6CD5"/>
    <w:rsid w:val="008E6D6F"/>
    <w:rsid w:val="008E7149"/>
    <w:rsid w:val="008E7DE0"/>
    <w:rsid w:val="008F28BA"/>
    <w:rsid w:val="008F3054"/>
    <w:rsid w:val="008F34BD"/>
    <w:rsid w:val="008F3DC1"/>
    <w:rsid w:val="008F4D14"/>
    <w:rsid w:val="008F4D70"/>
    <w:rsid w:val="008F5120"/>
    <w:rsid w:val="008F53E9"/>
    <w:rsid w:val="008F5C6C"/>
    <w:rsid w:val="008F6FB2"/>
    <w:rsid w:val="00900EB8"/>
    <w:rsid w:val="00900F4B"/>
    <w:rsid w:val="00901FDE"/>
    <w:rsid w:val="00903616"/>
    <w:rsid w:val="0090381C"/>
    <w:rsid w:val="009041D4"/>
    <w:rsid w:val="009054A4"/>
    <w:rsid w:val="009057CA"/>
    <w:rsid w:val="00905960"/>
    <w:rsid w:val="00905CB4"/>
    <w:rsid w:val="009072AA"/>
    <w:rsid w:val="0090732C"/>
    <w:rsid w:val="009108D9"/>
    <w:rsid w:val="00910F20"/>
    <w:rsid w:val="00911084"/>
    <w:rsid w:val="00911C44"/>
    <w:rsid w:val="009126B5"/>
    <w:rsid w:val="009127AF"/>
    <w:rsid w:val="009136C3"/>
    <w:rsid w:val="00915684"/>
    <w:rsid w:val="00915FB3"/>
    <w:rsid w:val="0091692F"/>
    <w:rsid w:val="00916F95"/>
    <w:rsid w:val="009178D2"/>
    <w:rsid w:val="00917E92"/>
    <w:rsid w:val="009201BB"/>
    <w:rsid w:val="00920A8B"/>
    <w:rsid w:val="00920ADC"/>
    <w:rsid w:val="00920C32"/>
    <w:rsid w:val="00921233"/>
    <w:rsid w:val="00921AAB"/>
    <w:rsid w:val="0092320E"/>
    <w:rsid w:val="00923428"/>
    <w:rsid w:val="00923723"/>
    <w:rsid w:val="009239F5"/>
    <w:rsid w:val="009248E6"/>
    <w:rsid w:val="009250C5"/>
    <w:rsid w:val="00925F10"/>
    <w:rsid w:val="009266DD"/>
    <w:rsid w:val="009269D3"/>
    <w:rsid w:val="00926A25"/>
    <w:rsid w:val="00927A94"/>
    <w:rsid w:val="00927C3E"/>
    <w:rsid w:val="0093059C"/>
    <w:rsid w:val="00932550"/>
    <w:rsid w:val="00932D4E"/>
    <w:rsid w:val="00933B51"/>
    <w:rsid w:val="00933CD3"/>
    <w:rsid w:val="0093405B"/>
    <w:rsid w:val="00934096"/>
    <w:rsid w:val="0093475E"/>
    <w:rsid w:val="00935A4B"/>
    <w:rsid w:val="00935DE5"/>
    <w:rsid w:val="00935F71"/>
    <w:rsid w:val="009371BA"/>
    <w:rsid w:val="00937656"/>
    <w:rsid w:val="00937D51"/>
    <w:rsid w:val="0094005C"/>
    <w:rsid w:val="00941839"/>
    <w:rsid w:val="00942052"/>
    <w:rsid w:val="009431D7"/>
    <w:rsid w:val="009433EF"/>
    <w:rsid w:val="00943BD9"/>
    <w:rsid w:val="00943C83"/>
    <w:rsid w:val="00943D2E"/>
    <w:rsid w:val="00944306"/>
    <w:rsid w:val="0094430E"/>
    <w:rsid w:val="0094582F"/>
    <w:rsid w:val="009459A0"/>
    <w:rsid w:val="009459A3"/>
    <w:rsid w:val="00945A78"/>
    <w:rsid w:val="009476A6"/>
    <w:rsid w:val="00947C64"/>
    <w:rsid w:val="009517D7"/>
    <w:rsid w:val="009518D0"/>
    <w:rsid w:val="009523B7"/>
    <w:rsid w:val="00952B4C"/>
    <w:rsid w:val="00952CAB"/>
    <w:rsid w:val="00954424"/>
    <w:rsid w:val="009557E3"/>
    <w:rsid w:val="00955C42"/>
    <w:rsid w:val="0095632B"/>
    <w:rsid w:val="00957DBC"/>
    <w:rsid w:val="00960787"/>
    <w:rsid w:val="00961AD4"/>
    <w:rsid w:val="009621F0"/>
    <w:rsid w:val="0096235B"/>
    <w:rsid w:val="00962859"/>
    <w:rsid w:val="00963247"/>
    <w:rsid w:val="009636C0"/>
    <w:rsid w:val="009636C1"/>
    <w:rsid w:val="00963F09"/>
    <w:rsid w:val="009658AA"/>
    <w:rsid w:val="00965D5A"/>
    <w:rsid w:val="00966B7A"/>
    <w:rsid w:val="00967B72"/>
    <w:rsid w:val="0097002D"/>
    <w:rsid w:val="009701C1"/>
    <w:rsid w:val="00970FCB"/>
    <w:rsid w:val="00973018"/>
    <w:rsid w:val="00973304"/>
    <w:rsid w:val="00973716"/>
    <w:rsid w:val="00973DD0"/>
    <w:rsid w:val="00973F02"/>
    <w:rsid w:val="009754C9"/>
    <w:rsid w:val="00975DA8"/>
    <w:rsid w:val="009761DC"/>
    <w:rsid w:val="00977304"/>
    <w:rsid w:val="009779CC"/>
    <w:rsid w:val="009808DE"/>
    <w:rsid w:val="00981878"/>
    <w:rsid w:val="00982596"/>
    <w:rsid w:val="009834C8"/>
    <w:rsid w:val="009844E5"/>
    <w:rsid w:val="00984831"/>
    <w:rsid w:val="00985772"/>
    <w:rsid w:val="00985936"/>
    <w:rsid w:val="0098644A"/>
    <w:rsid w:val="009864E1"/>
    <w:rsid w:val="0098695B"/>
    <w:rsid w:val="00986D3A"/>
    <w:rsid w:val="00990E8B"/>
    <w:rsid w:val="0099191A"/>
    <w:rsid w:val="00991FE2"/>
    <w:rsid w:val="009928BC"/>
    <w:rsid w:val="00993A21"/>
    <w:rsid w:val="00993C25"/>
    <w:rsid w:val="00993F24"/>
    <w:rsid w:val="00996091"/>
    <w:rsid w:val="0099696F"/>
    <w:rsid w:val="00997A73"/>
    <w:rsid w:val="00997A86"/>
    <w:rsid w:val="009A058F"/>
    <w:rsid w:val="009A0913"/>
    <w:rsid w:val="009A123D"/>
    <w:rsid w:val="009A16BE"/>
    <w:rsid w:val="009A1AA0"/>
    <w:rsid w:val="009A1AF2"/>
    <w:rsid w:val="009A1C7B"/>
    <w:rsid w:val="009A2873"/>
    <w:rsid w:val="009A2F96"/>
    <w:rsid w:val="009A30E8"/>
    <w:rsid w:val="009A3B18"/>
    <w:rsid w:val="009A4BEA"/>
    <w:rsid w:val="009A4DC6"/>
    <w:rsid w:val="009A52CD"/>
    <w:rsid w:val="009A63D4"/>
    <w:rsid w:val="009A65B2"/>
    <w:rsid w:val="009A6722"/>
    <w:rsid w:val="009A7628"/>
    <w:rsid w:val="009B0476"/>
    <w:rsid w:val="009B101E"/>
    <w:rsid w:val="009B134C"/>
    <w:rsid w:val="009B2FD7"/>
    <w:rsid w:val="009B3B72"/>
    <w:rsid w:val="009B4B72"/>
    <w:rsid w:val="009B560C"/>
    <w:rsid w:val="009B56F5"/>
    <w:rsid w:val="009B5984"/>
    <w:rsid w:val="009B5E5D"/>
    <w:rsid w:val="009B7EBE"/>
    <w:rsid w:val="009B7FA7"/>
    <w:rsid w:val="009C0279"/>
    <w:rsid w:val="009C0F77"/>
    <w:rsid w:val="009C2970"/>
    <w:rsid w:val="009C34B8"/>
    <w:rsid w:val="009C512F"/>
    <w:rsid w:val="009C5201"/>
    <w:rsid w:val="009C5370"/>
    <w:rsid w:val="009C5C46"/>
    <w:rsid w:val="009C5D73"/>
    <w:rsid w:val="009C5DF9"/>
    <w:rsid w:val="009C5E1D"/>
    <w:rsid w:val="009C640B"/>
    <w:rsid w:val="009C76B4"/>
    <w:rsid w:val="009C7705"/>
    <w:rsid w:val="009C7AD7"/>
    <w:rsid w:val="009D0359"/>
    <w:rsid w:val="009D06BC"/>
    <w:rsid w:val="009D141E"/>
    <w:rsid w:val="009D142F"/>
    <w:rsid w:val="009D15CB"/>
    <w:rsid w:val="009D1926"/>
    <w:rsid w:val="009D2270"/>
    <w:rsid w:val="009D3986"/>
    <w:rsid w:val="009D414C"/>
    <w:rsid w:val="009D4454"/>
    <w:rsid w:val="009D4639"/>
    <w:rsid w:val="009D54D0"/>
    <w:rsid w:val="009D6314"/>
    <w:rsid w:val="009D685B"/>
    <w:rsid w:val="009D6C42"/>
    <w:rsid w:val="009D7AAB"/>
    <w:rsid w:val="009E01AC"/>
    <w:rsid w:val="009E1201"/>
    <w:rsid w:val="009E1936"/>
    <w:rsid w:val="009E2038"/>
    <w:rsid w:val="009E2315"/>
    <w:rsid w:val="009E24ED"/>
    <w:rsid w:val="009E2FD1"/>
    <w:rsid w:val="009E3DA2"/>
    <w:rsid w:val="009E40A5"/>
    <w:rsid w:val="009E4832"/>
    <w:rsid w:val="009E4C3A"/>
    <w:rsid w:val="009E5D7D"/>
    <w:rsid w:val="009E65DD"/>
    <w:rsid w:val="009E6CED"/>
    <w:rsid w:val="009E6CF5"/>
    <w:rsid w:val="009E6EEE"/>
    <w:rsid w:val="009F195F"/>
    <w:rsid w:val="009F2072"/>
    <w:rsid w:val="009F2547"/>
    <w:rsid w:val="009F2B46"/>
    <w:rsid w:val="009F2CE9"/>
    <w:rsid w:val="009F3EC6"/>
    <w:rsid w:val="009F4067"/>
    <w:rsid w:val="009F40B2"/>
    <w:rsid w:val="009F4380"/>
    <w:rsid w:val="009F46F2"/>
    <w:rsid w:val="009F4CE8"/>
    <w:rsid w:val="009F4FBC"/>
    <w:rsid w:val="009F50AF"/>
    <w:rsid w:val="009F59EE"/>
    <w:rsid w:val="009F60BF"/>
    <w:rsid w:val="009F622E"/>
    <w:rsid w:val="009F6A78"/>
    <w:rsid w:val="009F715F"/>
    <w:rsid w:val="009F723E"/>
    <w:rsid w:val="009F7831"/>
    <w:rsid w:val="009F7A36"/>
    <w:rsid w:val="009F7AB3"/>
    <w:rsid w:val="00A00201"/>
    <w:rsid w:val="00A004E3"/>
    <w:rsid w:val="00A00FA9"/>
    <w:rsid w:val="00A01440"/>
    <w:rsid w:val="00A014E5"/>
    <w:rsid w:val="00A01DB0"/>
    <w:rsid w:val="00A038E0"/>
    <w:rsid w:val="00A03A01"/>
    <w:rsid w:val="00A03CCD"/>
    <w:rsid w:val="00A0453F"/>
    <w:rsid w:val="00A04CAD"/>
    <w:rsid w:val="00A04F77"/>
    <w:rsid w:val="00A0528B"/>
    <w:rsid w:val="00A053BF"/>
    <w:rsid w:val="00A0597E"/>
    <w:rsid w:val="00A05B1A"/>
    <w:rsid w:val="00A05DC3"/>
    <w:rsid w:val="00A062AC"/>
    <w:rsid w:val="00A07290"/>
    <w:rsid w:val="00A0738B"/>
    <w:rsid w:val="00A107BE"/>
    <w:rsid w:val="00A10AD2"/>
    <w:rsid w:val="00A116E5"/>
    <w:rsid w:val="00A11701"/>
    <w:rsid w:val="00A11C11"/>
    <w:rsid w:val="00A14FB8"/>
    <w:rsid w:val="00A150F7"/>
    <w:rsid w:val="00A165AD"/>
    <w:rsid w:val="00A179AE"/>
    <w:rsid w:val="00A20846"/>
    <w:rsid w:val="00A216AC"/>
    <w:rsid w:val="00A217B8"/>
    <w:rsid w:val="00A21A30"/>
    <w:rsid w:val="00A220EA"/>
    <w:rsid w:val="00A22CE3"/>
    <w:rsid w:val="00A22F64"/>
    <w:rsid w:val="00A242F1"/>
    <w:rsid w:val="00A24C9C"/>
    <w:rsid w:val="00A25F04"/>
    <w:rsid w:val="00A26651"/>
    <w:rsid w:val="00A26D4D"/>
    <w:rsid w:val="00A26EDE"/>
    <w:rsid w:val="00A273B1"/>
    <w:rsid w:val="00A27F40"/>
    <w:rsid w:val="00A305F1"/>
    <w:rsid w:val="00A313CB"/>
    <w:rsid w:val="00A314A5"/>
    <w:rsid w:val="00A318E7"/>
    <w:rsid w:val="00A32255"/>
    <w:rsid w:val="00A326E2"/>
    <w:rsid w:val="00A32D4F"/>
    <w:rsid w:val="00A33059"/>
    <w:rsid w:val="00A3333A"/>
    <w:rsid w:val="00A346B5"/>
    <w:rsid w:val="00A34F6A"/>
    <w:rsid w:val="00A357FE"/>
    <w:rsid w:val="00A36333"/>
    <w:rsid w:val="00A364E5"/>
    <w:rsid w:val="00A375F0"/>
    <w:rsid w:val="00A37DAC"/>
    <w:rsid w:val="00A37E5A"/>
    <w:rsid w:val="00A37FE8"/>
    <w:rsid w:val="00A409F2"/>
    <w:rsid w:val="00A40C76"/>
    <w:rsid w:val="00A40FD5"/>
    <w:rsid w:val="00A41063"/>
    <w:rsid w:val="00A4113C"/>
    <w:rsid w:val="00A41AF7"/>
    <w:rsid w:val="00A41BB6"/>
    <w:rsid w:val="00A42BEE"/>
    <w:rsid w:val="00A43071"/>
    <w:rsid w:val="00A439BC"/>
    <w:rsid w:val="00A4465B"/>
    <w:rsid w:val="00A44F0B"/>
    <w:rsid w:val="00A452F9"/>
    <w:rsid w:val="00A458B1"/>
    <w:rsid w:val="00A45BBA"/>
    <w:rsid w:val="00A47617"/>
    <w:rsid w:val="00A4786D"/>
    <w:rsid w:val="00A50684"/>
    <w:rsid w:val="00A5114B"/>
    <w:rsid w:val="00A527BA"/>
    <w:rsid w:val="00A529C6"/>
    <w:rsid w:val="00A53962"/>
    <w:rsid w:val="00A53B58"/>
    <w:rsid w:val="00A53CA3"/>
    <w:rsid w:val="00A541D8"/>
    <w:rsid w:val="00A54427"/>
    <w:rsid w:val="00A54C93"/>
    <w:rsid w:val="00A54E66"/>
    <w:rsid w:val="00A55BA0"/>
    <w:rsid w:val="00A55EDB"/>
    <w:rsid w:val="00A56649"/>
    <w:rsid w:val="00A56F55"/>
    <w:rsid w:val="00A571E3"/>
    <w:rsid w:val="00A600F0"/>
    <w:rsid w:val="00A60CE0"/>
    <w:rsid w:val="00A6166A"/>
    <w:rsid w:val="00A61A57"/>
    <w:rsid w:val="00A62942"/>
    <w:rsid w:val="00A62DE8"/>
    <w:rsid w:val="00A630FA"/>
    <w:rsid w:val="00A631DC"/>
    <w:rsid w:val="00A63412"/>
    <w:rsid w:val="00A64A43"/>
    <w:rsid w:val="00A65279"/>
    <w:rsid w:val="00A66282"/>
    <w:rsid w:val="00A67F83"/>
    <w:rsid w:val="00A7096E"/>
    <w:rsid w:val="00A70C78"/>
    <w:rsid w:val="00A70FC7"/>
    <w:rsid w:val="00A71546"/>
    <w:rsid w:val="00A7160E"/>
    <w:rsid w:val="00A718AF"/>
    <w:rsid w:val="00A727CD"/>
    <w:rsid w:val="00A72924"/>
    <w:rsid w:val="00A729C4"/>
    <w:rsid w:val="00A734AA"/>
    <w:rsid w:val="00A735CC"/>
    <w:rsid w:val="00A73BCD"/>
    <w:rsid w:val="00A74490"/>
    <w:rsid w:val="00A75004"/>
    <w:rsid w:val="00A75C4F"/>
    <w:rsid w:val="00A767DA"/>
    <w:rsid w:val="00A76EB9"/>
    <w:rsid w:val="00A77CA8"/>
    <w:rsid w:val="00A80D81"/>
    <w:rsid w:val="00A8125D"/>
    <w:rsid w:val="00A81848"/>
    <w:rsid w:val="00A81EF8"/>
    <w:rsid w:val="00A8315F"/>
    <w:rsid w:val="00A842B2"/>
    <w:rsid w:val="00A843F7"/>
    <w:rsid w:val="00A84FE1"/>
    <w:rsid w:val="00A859A3"/>
    <w:rsid w:val="00A87667"/>
    <w:rsid w:val="00A9035F"/>
    <w:rsid w:val="00A912C3"/>
    <w:rsid w:val="00A91524"/>
    <w:rsid w:val="00A939BC"/>
    <w:rsid w:val="00A93C51"/>
    <w:rsid w:val="00A93F27"/>
    <w:rsid w:val="00A9422A"/>
    <w:rsid w:val="00A94452"/>
    <w:rsid w:val="00A94667"/>
    <w:rsid w:val="00A94AF1"/>
    <w:rsid w:val="00A95860"/>
    <w:rsid w:val="00A972BD"/>
    <w:rsid w:val="00A9756A"/>
    <w:rsid w:val="00A97624"/>
    <w:rsid w:val="00AA0C04"/>
    <w:rsid w:val="00AA1C3D"/>
    <w:rsid w:val="00AA208F"/>
    <w:rsid w:val="00AA25D1"/>
    <w:rsid w:val="00AA2C19"/>
    <w:rsid w:val="00AA447A"/>
    <w:rsid w:val="00AA4762"/>
    <w:rsid w:val="00AA47ED"/>
    <w:rsid w:val="00AA4C61"/>
    <w:rsid w:val="00AA57DF"/>
    <w:rsid w:val="00AA59EC"/>
    <w:rsid w:val="00AA5E00"/>
    <w:rsid w:val="00AA688E"/>
    <w:rsid w:val="00AA7DAB"/>
    <w:rsid w:val="00AB1220"/>
    <w:rsid w:val="00AB25F9"/>
    <w:rsid w:val="00AB34C5"/>
    <w:rsid w:val="00AB3D10"/>
    <w:rsid w:val="00AB3F70"/>
    <w:rsid w:val="00AB3FE4"/>
    <w:rsid w:val="00AB40E0"/>
    <w:rsid w:val="00AB469C"/>
    <w:rsid w:val="00AB49E9"/>
    <w:rsid w:val="00AB513E"/>
    <w:rsid w:val="00AB5565"/>
    <w:rsid w:val="00AB5CCA"/>
    <w:rsid w:val="00AB64C2"/>
    <w:rsid w:val="00AB770A"/>
    <w:rsid w:val="00AB7923"/>
    <w:rsid w:val="00AC0C57"/>
    <w:rsid w:val="00AC11C9"/>
    <w:rsid w:val="00AC175D"/>
    <w:rsid w:val="00AC2BBB"/>
    <w:rsid w:val="00AC2F39"/>
    <w:rsid w:val="00AC357B"/>
    <w:rsid w:val="00AC37BA"/>
    <w:rsid w:val="00AC4B9F"/>
    <w:rsid w:val="00AC5837"/>
    <w:rsid w:val="00AC5C43"/>
    <w:rsid w:val="00AC606F"/>
    <w:rsid w:val="00AC623D"/>
    <w:rsid w:val="00AC64A2"/>
    <w:rsid w:val="00AC698C"/>
    <w:rsid w:val="00AC6AB6"/>
    <w:rsid w:val="00AC6E62"/>
    <w:rsid w:val="00AC7654"/>
    <w:rsid w:val="00AC77F0"/>
    <w:rsid w:val="00AD0212"/>
    <w:rsid w:val="00AD11F3"/>
    <w:rsid w:val="00AD166B"/>
    <w:rsid w:val="00AD1842"/>
    <w:rsid w:val="00AD1D28"/>
    <w:rsid w:val="00AD2079"/>
    <w:rsid w:val="00AD2D4B"/>
    <w:rsid w:val="00AD3C93"/>
    <w:rsid w:val="00AD460C"/>
    <w:rsid w:val="00AD5125"/>
    <w:rsid w:val="00AD6E33"/>
    <w:rsid w:val="00AD7CA5"/>
    <w:rsid w:val="00AD7DEB"/>
    <w:rsid w:val="00AE0B58"/>
    <w:rsid w:val="00AE0BE5"/>
    <w:rsid w:val="00AE1724"/>
    <w:rsid w:val="00AE1BEC"/>
    <w:rsid w:val="00AE269B"/>
    <w:rsid w:val="00AE2795"/>
    <w:rsid w:val="00AE2B0B"/>
    <w:rsid w:val="00AE2C56"/>
    <w:rsid w:val="00AE3FF8"/>
    <w:rsid w:val="00AE4589"/>
    <w:rsid w:val="00AE45A5"/>
    <w:rsid w:val="00AE47D4"/>
    <w:rsid w:val="00AE4FFC"/>
    <w:rsid w:val="00AE5466"/>
    <w:rsid w:val="00AE552E"/>
    <w:rsid w:val="00AE5E95"/>
    <w:rsid w:val="00AF0BCC"/>
    <w:rsid w:val="00AF11CF"/>
    <w:rsid w:val="00AF155A"/>
    <w:rsid w:val="00AF1672"/>
    <w:rsid w:val="00AF27B4"/>
    <w:rsid w:val="00AF390B"/>
    <w:rsid w:val="00AF3F9D"/>
    <w:rsid w:val="00AF406D"/>
    <w:rsid w:val="00AF41A8"/>
    <w:rsid w:val="00AF4776"/>
    <w:rsid w:val="00AF4822"/>
    <w:rsid w:val="00AF5598"/>
    <w:rsid w:val="00AF61D4"/>
    <w:rsid w:val="00AF6861"/>
    <w:rsid w:val="00AF6945"/>
    <w:rsid w:val="00AF69FB"/>
    <w:rsid w:val="00AF72E0"/>
    <w:rsid w:val="00B001F2"/>
    <w:rsid w:val="00B00622"/>
    <w:rsid w:val="00B007B5"/>
    <w:rsid w:val="00B00A97"/>
    <w:rsid w:val="00B019F8"/>
    <w:rsid w:val="00B01CC8"/>
    <w:rsid w:val="00B01DCA"/>
    <w:rsid w:val="00B02EC1"/>
    <w:rsid w:val="00B04E63"/>
    <w:rsid w:val="00B057F9"/>
    <w:rsid w:val="00B05AC0"/>
    <w:rsid w:val="00B071DC"/>
    <w:rsid w:val="00B07A50"/>
    <w:rsid w:val="00B07DC6"/>
    <w:rsid w:val="00B10FB2"/>
    <w:rsid w:val="00B13C1A"/>
    <w:rsid w:val="00B14062"/>
    <w:rsid w:val="00B150D5"/>
    <w:rsid w:val="00B15383"/>
    <w:rsid w:val="00B16446"/>
    <w:rsid w:val="00B16450"/>
    <w:rsid w:val="00B20259"/>
    <w:rsid w:val="00B21BFE"/>
    <w:rsid w:val="00B223A0"/>
    <w:rsid w:val="00B223B1"/>
    <w:rsid w:val="00B22A84"/>
    <w:rsid w:val="00B22B20"/>
    <w:rsid w:val="00B23274"/>
    <w:rsid w:val="00B2388B"/>
    <w:rsid w:val="00B2483F"/>
    <w:rsid w:val="00B24B5B"/>
    <w:rsid w:val="00B25F87"/>
    <w:rsid w:val="00B261D8"/>
    <w:rsid w:val="00B26C50"/>
    <w:rsid w:val="00B272AE"/>
    <w:rsid w:val="00B27748"/>
    <w:rsid w:val="00B27D80"/>
    <w:rsid w:val="00B30783"/>
    <w:rsid w:val="00B308D5"/>
    <w:rsid w:val="00B314D9"/>
    <w:rsid w:val="00B327E4"/>
    <w:rsid w:val="00B327F9"/>
    <w:rsid w:val="00B33A4E"/>
    <w:rsid w:val="00B34F5D"/>
    <w:rsid w:val="00B351C5"/>
    <w:rsid w:val="00B35328"/>
    <w:rsid w:val="00B3571C"/>
    <w:rsid w:val="00B35871"/>
    <w:rsid w:val="00B36084"/>
    <w:rsid w:val="00B361E6"/>
    <w:rsid w:val="00B36244"/>
    <w:rsid w:val="00B36317"/>
    <w:rsid w:val="00B36415"/>
    <w:rsid w:val="00B370A6"/>
    <w:rsid w:val="00B373F9"/>
    <w:rsid w:val="00B37673"/>
    <w:rsid w:val="00B377C7"/>
    <w:rsid w:val="00B37AAE"/>
    <w:rsid w:val="00B37B0F"/>
    <w:rsid w:val="00B4023F"/>
    <w:rsid w:val="00B402A8"/>
    <w:rsid w:val="00B41647"/>
    <w:rsid w:val="00B4257F"/>
    <w:rsid w:val="00B42767"/>
    <w:rsid w:val="00B440E8"/>
    <w:rsid w:val="00B44509"/>
    <w:rsid w:val="00B44960"/>
    <w:rsid w:val="00B46271"/>
    <w:rsid w:val="00B466F7"/>
    <w:rsid w:val="00B46AD2"/>
    <w:rsid w:val="00B50F00"/>
    <w:rsid w:val="00B51166"/>
    <w:rsid w:val="00B51CD8"/>
    <w:rsid w:val="00B5284F"/>
    <w:rsid w:val="00B52AD0"/>
    <w:rsid w:val="00B5312E"/>
    <w:rsid w:val="00B53C69"/>
    <w:rsid w:val="00B55DC6"/>
    <w:rsid w:val="00B56ADE"/>
    <w:rsid w:val="00B56EE6"/>
    <w:rsid w:val="00B57875"/>
    <w:rsid w:val="00B57B0F"/>
    <w:rsid w:val="00B6051A"/>
    <w:rsid w:val="00B60D94"/>
    <w:rsid w:val="00B60F7E"/>
    <w:rsid w:val="00B617D9"/>
    <w:rsid w:val="00B61B6E"/>
    <w:rsid w:val="00B6202B"/>
    <w:rsid w:val="00B6373B"/>
    <w:rsid w:val="00B63E4C"/>
    <w:rsid w:val="00B64045"/>
    <w:rsid w:val="00B64286"/>
    <w:rsid w:val="00B643FD"/>
    <w:rsid w:val="00B6481D"/>
    <w:rsid w:val="00B6568C"/>
    <w:rsid w:val="00B6587C"/>
    <w:rsid w:val="00B65F9E"/>
    <w:rsid w:val="00B66535"/>
    <w:rsid w:val="00B6671B"/>
    <w:rsid w:val="00B669D9"/>
    <w:rsid w:val="00B67F22"/>
    <w:rsid w:val="00B71429"/>
    <w:rsid w:val="00B71537"/>
    <w:rsid w:val="00B717C5"/>
    <w:rsid w:val="00B71FEA"/>
    <w:rsid w:val="00B721AB"/>
    <w:rsid w:val="00B733BB"/>
    <w:rsid w:val="00B736F5"/>
    <w:rsid w:val="00B73828"/>
    <w:rsid w:val="00B73C07"/>
    <w:rsid w:val="00B74384"/>
    <w:rsid w:val="00B75492"/>
    <w:rsid w:val="00B75D42"/>
    <w:rsid w:val="00B76A1F"/>
    <w:rsid w:val="00B76E92"/>
    <w:rsid w:val="00B77259"/>
    <w:rsid w:val="00B77490"/>
    <w:rsid w:val="00B80177"/>
    <w:rsid w:val="00B809A8"/>
    <w:rsid w:val="00B80E4A"/>
    <w:rsid w:val="00B821C3"/>
    <w:rsid w:val="00B82729"/>
    <w:rsid w:val="00B829E9"/>
    <w:rsid w:val="00B83454"/>
    <w:rsid w:val="00B85954"/>
    <w:rsid w:val="00B85E74"/>
    <w:rsid w:val="00B866F9"/>
    <w:rsid w:val="00B86FA0"/>
    <w:rsid w:val="00B870AA"/>
    <w:rsid w:val="00B8716F"/>
    <w:rsid w:val="00B87C18"/>
    <w:rsid w:val="00B87E37"/>
    <w:rsid w:val="00B90392"/>
    <w:rsid w:val="00B91B4F"/>
    <w:rsid w:val="00B92D8B"/>
    <w:rsid w:val="00B9304B"/>
    <w:rsid w:val="00B931E2"/>
    <w:rsid w:val="00B93E35"/>
    <w:rsid w:val="00B950E1"/>
    <w:rsid w:val="00B95617"/>
    <w:rsid w:val="00B96782"/>
    <w:rsid w:val="00B97D99"/>
    <w:rsid w:val="00BA03B6"/>
    <w:rsid w:val="00BA0851"/>
    <w:rsid w:val="00BA0A91"/>
    <w:rsid w:val="00BA0D19"/>
    <w:rsid w:val="00BA1633"/>
    <w:rsid w:val="00BA18A8"/>
    <w:rsid w:val="00BA244B"/>
    <w:rsid w:val="00BA337D"/>
    <w:rsid w:val="00BA3CE0"/>
    <w:rsid w:val="00BA3D34"/>
    <w:rsid w:val="00BA46A3"/>
    <w:rsid w:val="00BA4BA3"/>
    <w:rsid w:val="00BA5AAC"/>
    <w:rsid w:val="00BA61CF"/>
    <w:rsid w:val="00BA626A"/>
    <w:rsid w:val="00BA6B2A"/>
    <w:rsid w:val="00BA6DDB"/>
    <w:rsid w:val="00BA6DE5"/>
    <w:rsid w:val="00BA7684"/>
    <w:rsid w:val="00BB0553"/>
    <w:rsid w:val="00BB0C7B"/>
    <w:rsid w:val="00BB183C"/>
    <w:rsid w:val="00BB1B4E"/>
    <w:rsid w:val="00BB2085"/>
    <w:rsid w:val="00BB2C4A"/>
    <w:rsid w:val="00BB2DAF"/>
    <w:rsid w:val="00BB2E5D"/>
    <w:rsid w:val="00BB6C0D"/>
    <w:rsid w:val="00BB6FA6"/>
    <w:rsid w:val="00BB7451"/>
    <w:rsid w:val="00BB7A08"/>
    <w:rsid w:val="00BB7B26"/>
    <w:rsid w:val="00BC0000"/>
    <w:rsid w:val="00BC02C6"/>
    <w:rsid w:val="00BC0CE5"/>
    <w:rsid w:val="00BC1985"/>
    <w:rsid w:val="00BC1B60"/>
    <w:rsid w:val="00BC1F6F"/>
    <w:rsid w:val="00BC2272"/>
    <w:rsid w:val="00BC261C"/>
    <w:rsid w:val="00BC399E"/>
    <w:rsid w:val="00BC42FA"/>
    <w:rsid w:val="00BC4566"/>
    <w:rsid w:val="00BC46B9"/>
    <w:rsid w:val="00BC53E8"/>
    <w:rsid w:val="00BC54BC"/>
    <w:rsid w:val="00BC54E4"/>
    <w:rsid w:val="00BC55B9"/>
    <w:rsid w:val="00BC5CB1"/>
    <w:rsid w:val="00BC670E"/>
    <w:rsid w:val="00BC6CAC"/>
    <w:rsid w:val="00BD05DD"/>
    <w:rsid w:val="00BD0B99"/>
    <w:rsid w:val="00BD1664"/>
    <w:rsid w:val="00BD18A8"/>
    <w:rsid w:val="00BD1E32"/>
    <w:rsid w:val="00BD26C2"/>
    <w:rsid w:val="00BD2B2B"/>
    <w:rsid w:val="00BD39D4"/>
    <w:rsid w:val="00BD486C"/>
    <w:rsid w:val="00BD4C73"/>
    <w:rsid w:val="00BD51A9"/>
    <w:rsid w:val="00BD5694"/>
    <w:rsid w:val="00BD5887"/>
    <w:rsid w:val="00BD6281"/>
    <w:rsid w:val="00BD6F01"/>
    <w:rsid w:val="00BE002D"/>
    <w:rsid w:val="00BE10C2"/>
    <w:rsid w:val="00BE13C2"/>
    <w:rsid w:val="00BE1A6F"/>
    <w:rsid w:val="00BE1FDB"/>
    <w:rsid w:val="00BE2968"/>
    <w:rsid w:val="00BE2B33"/>
    <w:rsid w:val="00BE2CE0"/>
    <w:rsid w:val="00BE3189"/>
    <w:rsid w:val="00BE3A3D"/>
    <w:rsid w:val="00BE3D6C"/>
    <w:rsid w:val="00BE454B"/>
    <w:rsid w:val="00BE50B3"/>
    <w:rsid w:val="00BE58AF"/>
    <w:rsid w:val="00BE5B40"/>
    <w:rsid w:val="00BE5DF7"/>
    <w:rsid w:val="00BE63D6"/>
    <w:rsid w:val="00BE6DAA"/>
    <w:rsid w:val="00BF1997"/>
    <w:rsid w:val="00BF1FDB"/>
    <w:rsid w:val="00BF25CA"/>
    <w:rsid w:val="00BF2D4E"/>
    <w:rsid w:val="00BF4520"/>
    <w:rsid w:val="00BF5E43"/>
    <w:rsid w:val="00BF625C"/>
    <w:rsid w:val="00BF70F2"/>
    <w:rsid w:val="00BF7417"/>
    <w:rsid w:val="00BF7A39"/>
    <w:rsid w:val="00BF7A77"/>
    <w:rsid w:val="00BF7A94"/>
    <w:rsid w:val="00C0129D"/>
    <w:rsid w:val="00C014B5"/>
    <w:rsid w:val="00C016B2"/>
    <w:rsid w:val="00C01903"/>
    <w:rsid w:val="00C02208"/>
    <w:rsid w:val="00C0429F"/>
    <w:rsid w:val="00C044CE"/>
    <w:rsid w:val="00C04B6A"/>
    <w:rsid w:val="00C0566B"/>
    <w:rsid w:val="00C0568F"/>
    <w:rsid w:val="00C05A4F"/>
    <w:rsid w:val="00C05F4E"/>
    <w:rsid w:val="00C06320"/>
    <w:rsid w:val="00C06D0A"/>
    <w:rsid w:val="00C07180"/>
    <w:rsid w:val="00C07A99"/>
    <w:rsid w:val="00C102FA"/>
    <w:rsid w:val="00C104D4"/>
    <w:rsid w:val="00C10814"/>
    <w:rsid w:val="00C108C6"/>
    <w:rsid w:val="00C10C5C"/>
    <w:rsid w:val="00C11A96"/>
    <w:rsid w:val="00C11E04"/>
    <w:rsid w:val="00C126AE"/>
    <w:rsid w:val="00C127E8"/>
    <w:rsid w:val="00C12E7D"/>
    <w:rsid w:val="00C14605"/>
    <w:rsid w:val="00C14930"/>
    <w:rsid w:val="00C14BDA"/>
    <w:rsid w:val="00C155AB"/>
    <w:rsid w:val="00C16650"/>
    <w:rsid w:val="00C17FC3"/>
    <w:rsid w:val="00C21964"/>
    <w:rsid w:val="00C223DC"/>
    <w:rsid w:val="00C22744"/>
    <w:rsid w:val="00C24BA7"/>
    <w:rsid w:val="00C24E29"/>
    <w:rsid w:val="00C27999"/>
    <w:rsid w:val="00C27F3F"/>
    <w:rsid w:val="00C27F72"/>
    <w:rsid w:val="00C30019"/>
    <w:rsid w:val="00C30080"/>
    <w:rsid w:val="00C30085"/>
    <w:rsid w:val="00C306CE"/>
    <w:rsid w:val="00C30F9A"/>
    <w:rsid w:val="00C311F8"/>
    <w:rsid w:val="00C32179"/>
    <w:rsid w:val="00C32448"/>
    <w:rsid w:val="00C325CF"/>
    <w:rsid w:val="00C32A4E"/>
    <w:rsid w:val="00C32B81"/>
    <w:rsid w:val="00C33982"/>
    <w:rsid w:val="00C33B2C"/>
    <w:rsid w:val="00C33EFC"/>
    <w:rsid w:val="00C363A4"/>
    <w:rsid w:val="00C36F3C"/>
    <w:rsid w:val="00C3782E"/>
    <w:rsid w:val="00C378F2"/>
    <w:rsid w:val="00C37DBF"/>
    <w:rsid w:val="00C41141"/>
    <w:rsid w:val="00C41833"/>
    <w:rsid w:val="00C42B8E"/>
    <w:rsid w:val="00C44516"/>
    <w:rsid w:val="00C44E6B"/>
    <w:rsid w:val="00C45395"/>
    <w:rsid w:val="00C456BB"/>
    <w:rsid w:val="00C460FC"/>
    <w:rsid w:val="00C461A2"/>
    <w:rsid w:val="00C463F6"/>
    <w:rsid w:val="00C46610"/>
    <w:rsid w:val="00C46EB5"/>
    <w:rsid w:val="00C472EF"/>
    <w:rsid w:val="00C47946"/>
    <w:rsid w:val="00C47B0B"/>
    <w:rsid w:val="00C47B51"/>
    <w:rsid w:val="00C47D70"/>
    <w:rsid w:val="00C47DF1"/>
    <w:rsid w:val="00C50235"/>
    <w:rsid w:val="00C505DB"/>
    <w:rsid w:val="00C50883"/>
    <w:rsid w:val="00C50C56"/>
    <w:rsid w:val="00C52774"/>
    <w:rsid w:val="00C52BA6"/>
    <w:rsid w:val="00C52DBE"/>
    <w:rsid w:val="00C53869"/>
    <w:rsid w:val="00C53A6E"/>
    <w:rsid w:val="00C53DB9"/>
    <w:rsid w:val="00C53E23"/>
    <w:rsid w:val="00C5466E"/>
    <w:rsid w:val="00C55028"/>
    <w:rsid w:val="00C555CC"/>
    <w:rsid w:val="00C5577A"/>
    <w:rsid w:val="00C55947"/>
    <w:rsid w:val="00C55B62"/>
    <w:rsid w:val="00C55CF0"/>
    <w:rsid w:val="00C5625B"/>
    <w:rsid w:val="00C567FA"/>
    <w:rsid w:val="00C573D5"/>
    <w:rsid w:val="00C575F8"/>
    <w:rsid w:val="00C578BA"/>
    <w:rsid w:val="00C5798D"/>
    <w:rsid w:val="00C6126F"/>
    <w:rsid w:val="00C61864"/>
    <w:rsid w:val="00C624B3"/>
    <w:rsid w:val="00C62539"/>
    <w:rsid w:val="00C625A3"/>
    <w:rsid w:val="00C62A21"/>
    <w:rsid w:val="00C6322A"/>
    <w:rsid w:val="00C63FEE"/>
    <w:rsid w:val="00C64AE9"/>
    <w:rsid w:val="00C64F82"/>
    <w:rsid w:val="00C6512B"/>
    <w:rsid w:val="00C6523B"/>
    <w:rsid w:val="00C65F5C"/>
    <w:rsid w:val="00C66CAF"/>
    <w:rsid w:val="00C671BA"/>
    <w:rsid w:val="00C67CB4"/>
    <w:rsid w:val="00C712F0"/>
    <w:rsid w:val="00C71D96"/>
    <w:rsid w:val="00C72344"/>
    <w:rsid w:val="00C72D13"/>
    <w:rsid w:val="00C73599"/>
    <w:rsid w:val="00C73F26"/>
    <w:rsid w:val="00C7455F"/>
    <w:rsid w:val="00C745F4"/>
    <w:rsid w:val="00C74F2E"/>
    <w:rsid w:val="00C75625"/>
    <w:rsid w:val="00C7645E"/>
    <w:rsid w:val="00C76C5B"/>
    <w:rsid w:val="00C7708E"/>
    <w:rsid w:val="00C80200"/>
    <w:rsid w:val="00C80C4C"/>
    <w:rsid w:val="00C8143B"/>
    <w:rsid w:val="00C816EB"/>
    <w:rsid w:val="00C81A40"/>
    <w:rsid w:val="00C81A70"/>
    <w:rsid w:val="00C81C51"/>
    <w:rsid w:val="00C82829"/>
    <w:rsid w:val="00C82ED1"/>
    <w:rsid w:val="00C83C5D"/>
    <w:rsid w:val="00C83D9A"/>
    <w:rsid w:val="00C85149"/>
    <w:rsid w:val="00C852B4"/>
    <w:rsid w:val="00C858C0"/>
    <w:rsid w:val="00C86B9A"/>
    <w:rsid w:val="00C86BC2"/>
    <w:rsid w:val="00C86CAC"/>
    <w:rsid w:val="00C874E3"/>
    <w:rsid w:val="00C9038D"/>
    <w:rsid w:val="00C9071F"/>
    <w:rsid w:val="00C917D5"/>
    <w:rsid w:val="00C9209B"/>
    <w:rsid w:val="00C92B9C"/>
    <w:rsid w:val="00C93B8A"/>
    <w:rsid w:val="00C93E3D"/>
    <w:rsid w:val="00C95D25"/>
    <w:rsid w:val="00C9625F"/>
    <w:rsid w:val="00C96DA3"/>
    <w:rsid w:val="00C96DBC"/>
    <w:rsid w:val="00C96F61"/>
    <w:rsid w:val="00C97585"/>
    <w:rsid w:val="00C97604"/>
    <w:rsid w:val="00C97B3C"/>
    <w:rsid w:val="00CA06DA"/>
    <w:rsid w:val="00CA12E5"/>
    <w:rsid w:val="00CA1740"/>
    <w:rsid w:val="00CA1E1C"/>
    <w:rsid w:val="00CA1E56"/>
    <w:rsid w:val="00CA2701"/>
    <w:rsid w:val="00CA3954"/>
    <w:rsid w:val="00CA406D"/>
    <w:rsid w:val="00CA5539"/>
    <w:rsid w:val="00CA5643"/>
    <w:rsid w:val="00CA590E"/>
    <w:rsid w:val="00CA6A3F"/>
    <w:rsid w:val="00CA73EF"/>
    <w:rsid w:val="00CA7830"/>
    <w:rsid w:val="00CA79CA"/>
    <w:rsid w:val="00CB059F"/>
    <w:rsid w:val="00CB0CCA"/>
    <w:rsid w:val="00CB1083"/>
    <w:rsid w:val="00CB1EDE"/>
    <w:rsid w:val="00CB200A"/>
    <w:rsid w:val="00CB2670"/>
    <w:rsid w:val="00CB27BC"/>
    <w:rsid w:val="00CB3F27"/>
    <w:rsid w:val="00CB48F3"/>
    <w:rsid w:val="00CB4A80"/>
    <w:rsid w:val="00CB544D"/>
    <w:rsid w:val="00CB5826"/>
    <w:rsid w:val="00CB630A"/>
    <w:rsid w:val="00CB6523"/>
    <w:rsid w:val="00CB6DDE"/>
    <w:rsid w:val="00CB6F23"/>
    <w:rsid w:val="00CB71C8"/>
    <w:rsid w:val="00CB7B47"/>
    <w:rsid w:val="00CB7CE6"/>
    <w:rsid w:val="00CC00B7"/>
    <w:rsid w:val="00CC0117"/>
    <w:rsid w:val="00CC07C4"/>
    <w:rsid w:val="00CC13F2"/>
    <w:rsid w:val="00CC1986"/>
    <w:rsid w:val="00CC272C"/>
    <w:rsid w:val="00CC2D96"/>
    <w:rsid w:val="00CC3403"/>
    <w:rsid w:val="00CC405D"/>
    <w:rsid w:val="00CC4CFF"/>
    <w:rsid w:val="00CC53DC"/>
    <w:rsid w:val="00CC6C5A"/>
    <w:rsid w:val="00CD1921"/>
    <w:rsid w:val="00CD1E3E"/>
    <w:rsid w:val="00CD1EF9"/>
    <w:rsid w:val="00CD2C80"/>
    <w:rsid w:val="00CD3783"/>
    <w:rsid w:val="00CD3EA2"/>
    <w:rsid w:val="00CD42CD"/>
    <w:rsid w:val="00CD5051"/>
    <w:rsid w:val="00CD532C"/>
    <w:rsid w:val="00CD63AF"/>
    <w:rsid w:val="00CD6A53"/>
    <w:rsid w:val="00CD729A"/>
    <w:rsid w:val="00CD7583"/>
    <w:rsid w:val="00CD7618"/>
    <w:rsid w:val="00CD7704"/>
    <w:rsid w:val="00CE026E"/>
    <w:rsid w:val="00CE0272"/>
    <w:rsid w:val="00CE02BC"/>
    <w:rsid w:val="00CE08E3"/>
    <w:rsid w:val="00CE0BA9"/>
    <w:rsid w:val="00CE1199"/>
    <w:rsid w:val="00CE12D6"/>
    <w:rsid w:val="00CE273D"/>
    <w:rsid w:val="00CE2B97"/>
    <w:rsid w:val="00CE30F9"/>
    <w:rsid w:val="00CE3409"/>
    <w:rsid w:val="00CE416C"/>
    <w:rsid w:val="00CE46C3"/>
    <w:rsid w:val="00CE4D4F"/>
    <w:rsid w:val="00CE5477"/>
    <w:rsid w:val="00CE5CA5"/>
    <w:rsid w:val="00CE6071"/>
    <w:rsid w:val="00CE63E7"/>
    <w:rsid w:val="00CE698A"/>
    <w:rsid w:val="00CE69DF"/>
    <w:rsid w:val="00CE6B1B"/>
    <w:rsid w:val="00CE701D"/>
    <w:rsid w:val="00CE7B13"/>
    <w:rsid w:val="00CF1ECC"/>
    <w:rsid w:val="00CF2460"/>
    <w:rsid w:val="00CF2A60"/>
    <w:rsid w:val="00CF2E66"/>
    <w:rsid w:val="00CF32AF"/>
    <w:rsid w:val="00CF4C72"/>
    <w:rsid w:val="00CF52F5"/>
    <w:rsid w:val="00CF56F4"/>
    <w:rsid w:val="00CF640D"/>
    <w:rsid w:val="00CF7D03"/>
    <w:rsid w:val="00D00A8F"/>
    <w:rsid w:val="00D013A0"/>
    <w:rsid w:val="00D01BA1"/>
    <w:rsid w:val="00D02792"/>
    <w:rsid w:val="00D03F1C"/>
    <w:rsid w:val="00D04254"/>
    <w:rsid w:val="00D046F9"/>
    <w:rsid w:val="00D06E63"/>
    <w:rsid w:val="00D07C4E"/>
    <w:rsid w:val="00D10648"/>
    <w:rsid w:val="00D10B75"/>
    <w:rsid w:val="00D10D50"/>
    <w:rsid w:val="00D10E97"/>
    <w:rsid w:val="00D120B2"/>
    <w:rsid w:val="00D1223E"/>
    <w:rsid w:val="00D12A6F"/>
    <w:rsid w:val="00D1308A"/>
    <w:rsid w:val="00D13342"/>
    <w:rsid w:val="00D134EE"/>
    <w:rsid w:val="00D1369C"/>
    <w:rsid w:val="00D13844"/>
    <w:rsid w:val="00D138CA"/>
    <w:rsid w:val="00D1456C"/>
    <w:rsid w:val="00D14BB2"/>
    <w:rsid w:val="00D14DC7"/>
    <w:rsid w:val="00D14F48"/>
    <w:rsid w:val="00D15B1F"/>
    <w:rsid w:val="00D16051"/>
    <w:rsid w:val="00D17BD1"/>
    <w:rsid w:val="00D17C50"/>
    <w:rsid w:val="00D20516"/>
    <w:rsid w:val="00D20D93"/>
    <w:rsid w:val="00D210E2"/>
    <w:rsid w:val="00D21A9A"/>
    <w:rsid w:val="00D220E1"/>
    <w:rsid w:val="00D22140"/>
    <w:rsid w:val="00D224B4"/>
    <w:rsid w:val="00D227B9"/>
    <w:rsid w:val="00D233CB"/>
    <w:rsid w:val="00D2391E"/>
    <w:rsid w:val="00D23C8E"/>
    <w:rsid w:val="00D24155"/>
    <w:rsid w:val="00D24AC9"/>
    <w:rsid w:val="00D24D80"/>
    <w:rsid w:val="00D25563"/>
    <w:rsid w:val="00D26344"/>
    <w:rsid w:val="00D270C9"/>
    <w:rsid w:val="00D27A25"/>
    <w:rsid w:val="00D3053A"/>
    <w:rsid w:val="00D3060D"/>
    <w:rsid w:val="00D3129E"/>
    <w:rsid w:val="00D31C12"/>
    <w:rsid w:val="00D32029"/>
    <w:rsid w:val="00D322F6"/>
    <w:rsid w:val="00D330A2"/>
    <w:rsid w:val="00D335DC"/>
    <w:rsid w:val="00D33B5F"/>
    <w:rsid w:val="00D342F2"/>
    <w:rsid w:val="00D34858"/>
    <w:rsid w:val="00D366AD"/>
    <w:rsid w:val="00D36A79"/>
    <w:rsid w:val="00D36C5F"/>
    <w:rsid w:val="00D37371"/>
    <w:rsid w:val="00D37D4B"/>
    <w:rsid w:val="00D4037F"/>
    <w:rsid w:val="00D40419"/>
    <w:rsid w:val="00D40737"/>
    <w:rsid w:val="00D410CA"/>
    <w:rsid w:val="00D4171E"/>
    <w:rsid w:val="00D423E5"/>
    <w:rsid w:val="00D4447F"/>
    <w:rsid w:val="00D4478D"/>
    <w:rsid w:val="00D44A8E"/>
    <w:rsid w:val="00D44E90"/>
    <w:rsid w:val="00D44FB4"/>
    <w:rsid w:val="00D4519E"/>
    <w:rsid w:val="00D456D5"/>
    <w:rsid w:val="00D45AB5"/>
    <w:rsid w:val="00D46491"/>
    <w:rsid w:val="00D4654D"/>
    <w:rsid w:val="00D47138"/>
    <w:rsid w:val="00D47273"/>
    <w:rsid w:val="00D477CB"/>
    <w:rsid w:val="00D47808"/>
    <w:rsid w:val="00D4781A"/>
    <w:rsid w:val="00D50904"/>
    <w:rsid w:val="00D50DEA"/>
    <w:rsid w:val="00D5153E"/>
    <w:rsid w:val="00D51C6A"/>
    <w:rsid w:val="00D52351"/>
    <w:rsid w:val="00D528F9"/>
    <w:rsid w:val="00D531F3"/>
    <w:rsid w:val="00D534D2"/>
    <w:rsid w:val="00D5397C"/>
    <w:rsid w:val="00D53DE0"/>
    <w:rsid w:val="00D53E9A"/>
    <w:rsid w:val="00D53F24"/>
    <w:rsid w:val="00D54607"/>
    <w:rsid w:val="00D55787"/>
    <w:rsid w:val="00D56911"/>
    <w:rsid w:val="00D57314"/>
    <w:rsid w:val="00D5761D"/>
    <w:rsid w:val="00D62859"/>
    <w:rsid w:val="00D63FF1"/>
    <w:rsid w:val="00D64458"/>
    <w:rsid w:val="00D6468C"/>
    <w:rsid w:val="00D64800"/>
    <w:rsid w:val="00D651E5"/>
    <w:rsid w:val="00D65C2A"/>
    <w:rsid w:val="00D66780"/>
    <w:rsid w:val="00D66919"/>
    <w:rsid w:val="00D67695"/>
    <w:rsid w:val="00D6780E"/>
    <w:rsid w:val="00D711CE"/>
    <w:rsid w:val="00D712D2"/>
    <w:rsid w:val="00D7182F"/>
    <w:rsid w:val="00D71895"/>
    <w:rsid w:val="00D72030"/>
    <w:rsid w:val="00D72288"/>
    <w:rsid w:val="00D7306F"/>
    <w:rsid w:val="00D73A45"/>
    <w:rsid w:val="00D74674"/>
    <w:rsid w:val="00D752E2"/>
    <w:rsid w:val="00D77420"/>
    <w:rsid w:val="00D802EF"/>
    <w:rsid w:val="00D80891"/>
    <w:rsid w:val="00D80A22"/>
    <w:rsid w:val="00D81B8C"/>
    <w:rsid w:val="00D82632"/>
    <w:rsid w:val="00D827AB"/>
    <w:rsid w:val="00D82CBF"/>
    <w:rsid w:val="00D835B0"/>
    <w:rsid w:val="00D8419E"/>
    <w:rsid w:val="00D84306"/>
    <w:rsid w:val="00D843F9"/>
    <w:rsid w:val="00D84721"/>
    <w:rsid w:val="00D856AA"/>
    <w:rsid w:val="00D856D0"/>
    <w:rsid w:val="00D85F32"/>
    <w:rsid w:val="00D86434"/>
    <w:rsid w:val="00D86B61"/>
    <w:rsid w:val="00D90ECE"/>
    <w:rsid w:val="00D91005"/>
    <w:rsid w:val="00D91A81"/>
    <w:rsid w:val="00D93038"/>
    <w:rsid w:val="00D93317"/>
    <w:rsid w:val="00D93790"/>
    <w:rsid w:val="00D93E18"/>
    <w:rsid w:val="00D9464C"/>
    <w:rsid w:val="00D94D70"/>
    <w:rsid w:val="00D94EE2"/>
    <w:rsid w:val="00D95455"/>
    <w:rsid w:val="00D95D59"/>
    <w:rsid w:val="00D95F4A"/>
    <w:rsid w:val="00D96433"/>
    <w:rsid w:val="00D96667"/>
    <w:rsid w:val="00D96BD4"/>
    <w:rsid w:val="00DA0927"/>
    <w:rsid w:val="00DA368C"/>
    <w:rsid w:val="00DA43E1"/>
    <w:rsid w:val="00DA4B74"/>
    <w:rsid w:val="00DA5784"/>
    <w:rsid w:val="00DA5CC4"/>
    <w:rsid w:val="00DA6FCC"/>
    <w:rsid w:val="00DA715D"/>
    <w:rsid w:val="00DA7222"/>
    <w:rsid w:val="00DB2631"/>
    <w:rsid w:val="00DB2B21"/>
    <w:rsid w:val="00DB5DEA"/>
    <w:rsid w:val="00DC0BDB"/>
    <w:rsid w:val="00DC0E9A"/>
    <w:rsid w:val="00DC0FD6"/>
    <w:rsid w:val="00DC147E"/>
    <w:rsid w:val="00DC1AC9"/>
    <w:rsid w:val="00DC1D48"/>
    <w:rsid w:val="00DC27FE"/>
    <w:rsid w:val="00DC28CD"/>
    <w:rsid w:val="00DC318A"/>
    <w:rsid w:val="00DC42E0"/>
    <w:rsid w:val="00DC45FF"/>
    <w:rsid w:val="00DC4744"/>
    <w:rsid w:val="00DC48A5"/>
    <w:rsid w:val="00DC4F7B"/>
    <w:rsid w:val="00DC551C"/>
    <w:rsid w:val="00DC65DC"/>
    <w:rsid w:val="00DC6CD5"/>
    <w:rsid w:val="00DC717A"/>
    <w:rsid w:val="00DC76ED"/>
    <w:rsid w:val="00DC7B09"/>
    <w:rsid w:val="00DC7C47"/>
    <w:rsid w:val="00DC7D66"/>
    <w:rsid w:val="00DC7FA3"/>
    <w:rsid w:val="00DD0236"/>
    <w:rsid w:val="00DD0375"/>
    <w:rsid w:val="00DD0D87"/>
    <w:rsid w:val="00DD18BC"/>
    <w:rsid w:val="00DD191B"/>
    <w:rsid w:val="00DD25D9"/>
    <w:rsid w:val="00DD2A0C"/>
    <w:rsid w:val="00DD33D4"/>
    <w:rsid w:val="00DD3BA2"/>
    <w:rsid w:val="00DD42E1"/>
    <w:rsid w:val="00DD4CC9"/>
    <w:rsid w:val="00DD683F"/>
    <w:rsid w:val="00DD743A"/>
    <w:rsid w:val="00DE0526"/>
    <w:rsid w:val="00DE0DA2"/>
    <w:rsid w:val="00DE1983"/>
    <w:rsid w:val="00DE24F4"/>
    <w:rsid w:val="00DE29E4"/>
    <w:rsid w:val="00DE3A84"/>
    <w:rsid w:val="00DE5233"/>
    <w:rsid w:val="00DE539A"/>
    <w:rsid w:val="00DE5873"/>
    <w:rsid w:val="00DE5DAC"/>
    <w:rsid w:val="00DE60A1"/>
    <w:rsid w:val="00DE6183"/>
    <w:rsid w:val="00DE67FB"/>
    <w:rsid w:val="00DE73AA"/>
    <w:rsid w:val="00DE7D4A"/>
    <w:rsid w:val="00DF03E9"/>
    <w:rsid w:val="00DF13CD"/>
    <w:rsid w:val="00DF1D30"/>
    <w:rsid w:val="00DF1F5F"/>
    <w:rsid w:val="00DF25A5"/>
    <w:rsid w:val="00DF25A7"/>
    <w:rsid w:val="00DF2DD8"/>
    <w:rsid w:val="00DF329C"/>
    <w:rsid w:val="00DF32C8"/>
    <w:rsid w:val="00DF3B3B"/>
    <w:rsid w:val="00DF3C48"/>
    <w:rsid w:val="00DF51AF"/>
    <w:rsid w:val="00DF58B3"/>
    <w:rsid w:val="00DF5942"/>
    <w:rsid w:val="00DF5D3E"/>
    <w:rsid w:val="00DF5F46"/>
    <w:rsid w:val="00DF6269"/>
    <w:rsid w:val="00DF6B90"/>
    <w:rsid w:val="00DF74B2"/>
    <w:rsid w:val="00DF74BD"/>
    <w:rsid w:val="00DF7EF0"/>
    <w:rsid w:val="00E00B7B"/>
    <w:rsid w:val="00E00FB0"/>
    <w:rsid w:val="00E0118B"/>
    <w:rsid w:val="00E01918"/>
    <w:rsid w:val="00E0258B"/>
    <w:rsid w:val="00E029BD"/>
    <w:rsid w:val="00E02B3D"/>
    <w:rsid w:val="00E02F04"/>
    <w:rsid w:val="00E031EB"/>
    <w:rsid w:val="00E039AD"/>
    <w:rsid w:val="00E03A8B"/>
    <w:rsid w:val="00E04365"/>
    <w:rsid w:val="00E0437C"/>
    <w:rsid w:val="00E043A8"/>
    <w:rsid w:val="00E046AD"/>
    <w:rsid w:val="00E056C1"/>
    <w:rsid w:val="00E060EA"/>
    <w:rsid w:val="00E06D33"/>
    <w:rsid w:val="00E07DA0"/>
    <w:rsid w:val="00E10561"/>
    <w:rsid w:val="00E11041"/>
    <w:rsid w:val="00E11967"/>
    <w:rsid w:val="00E11CF9"/>
    <w:rsid w:val="00E13368"/>
    <w:rsid w:val="00E13624"/>
    <w:rsid w:val="00E13787"/>
    <w:rsid w:val="00E13C33"/>
    <w:rsid w:val="00E141D5"/>
    <w:rsid w:val="00E14966"/>
    <w:rsid w:val="00E1523A"/>
    <w:rsid w:val="00E15874"/>
    <w:rsid w:val="00E16116"/>
    <w:rsid w:val="00E1679A"/>
    <w:rsid w:val="00E169FB"/>
    <w:rsid w:val="00E204AD"/>
    <w:rsid w:val="00E21142"/>
    <w:rsid w:val="00E21C17"/>
    <w:rsid w:val="00E23305"/>
    <w:rsid w:val="00E24377"/>
    <w:rsid w:val="00E244BC"/>
    <w:rsid w:val="00E24C8B"/>
    <w:rsid w:val="00E24EB1"/>
    <w:rsid w:val="00E259B1"/>
    <w:rsid w:val="00E264BF"/>
    <w:rsid w:val="00E27A83"/>
    <w:rsid w:val="00E27F87"/>
    <w:rsid w:val="00E3036F"/>
    <w:rsid w:val="00E31108"/>
    <w:rsid w:val="00E318E0"/>
    <w:rsid w:val="00E320F9"/>
    <w:rsid w:val="00E32C75"/>
    <w:rsid w:val="00E330E7"/>
    <w:rsid w:val="00E332B5"/>
    <w:rsid w:val="00E33766"/>
    <w:rsid w:val="00E33F68"/>
    <w:rsid w:val="00E34DE0"/>
    <w:rsid w:val="00E359A4"/>
    <w:rsid w:val="00E35ADB"/>
    <w:rsid w:val="00E3639D"/>
    <w:rsid w:val="00E36DF5"/>
    <w:rsid w:val="00E373C0"/>
    <w:rsid w:val="00E41120"/>
    <w:rsid w:val="00E413C7"/>
    <w:rsid w:val="00E423E0"/>
    <w:rsid w:val="00E43077"/>
    <w:rsid w:val="00E44F1B"/>
    <w:rsid w:val="00E46EC2"/>
    <w:rsid w:val="00E4735F"/>
    <w:rsid w:val="00E476E1"/>
    <w:rsid w:val="00E47CE1"/>
    <w:rsid w:val="00E504EA"/>
    <w:rsid w:val="00E510F5"/>
    <w:rsid w:val="00E51148"/>
    <w:rsid w:val="00E517EB"/>
    <w:rsid w:val="00E5193E"/>
    <w:rsid w:val="00E51E52"/>
    <w:rsid w:val="00E52543"/>
    <w:rsid w:val="00E52F21"/>
    <w:rsid w:val="00E53607"/>
    <w:rsid w:val="00E53BB2"/>
    <w:rsid w:val="00E56110"/>
    <w:rsid w:val="00E57270"/>
    <w:rsid w:val="00E60194"/>
    <w:rsid w:val="00E60A63"/>
    <w:rsid w:val="00E61A74"/>
    <w:rsid w:val="00E6223D"/>
    <w:rsid w:val="00E625B3"/>
    <w:rsid w:val="00E62731"/>
    <w:rsid w:val="00E6278E"/>
    <w:rsid w:val="00E630CA"/>
    <w:rsid w:val="00E64905"/>
    <w:rsid w:val="00E64D57"/>
    <w:rsid w:val="00E65423"/>
    <w:rsid w:val="00E65DF0"/>
    <w:rsid w:val="00E67150"/>
    <w:rsid w:val="00E6749B"/>
    <w:rsid w:val="00E7079B"/>
    <w:rsid w:val="00E7085B"/>
    <w:rsid w:val="00E7093D"/>
    <w:rsid w:val="00E719EA"/>
    <w:rsid w:val="00E71EFB"/>
    <w:rsid w:val="00E728E1"/>
    <w:rsid w:val="00E732D3"/>
    <w:rsid w:val="00E73AB6"/>
    <w:rsid w:val="00E761CF"/>
    <w:rsid w:val="00E77563"/>
    <w:rsid w:val="00E77700"/>
    <w:rsid w:val="00E80BB0"/>
    <w:rsid w:val="00E80E85"/>
    <w:rsid w:val="00E81077"/>
    <w:rsid w:val="00E83A41"/>
    <w:rsid w:val="00E85907"/>
    <w:rsid w:val="00E85CC4"/>
    <w:rsid w:val="00E866C0"/>
    <w:rsid w:val="00E86922"/>
    <w:rsid w:val="00E90883"/>
    <w:rsid w:val="00E91BBE"/>
    <w:rsid w:val="00E920F2"/>
    <w:rsid w:val="00E93064"/>
    <w:rsid w:val="00E9346C"/>
    <w:rsid w:val="00E937D7"/>
    <w:rsid w:val="00E93A45"/>
    <w:rsid w:val="00E9424F"/>
    <w:rsid w:val="00E948C7"/>
    <w:rsid w:val="00E94AA6"/>
    <w:rsid w:val="00E953AD"/>
    <w:rsid w:val="00E962DA"/>
    <w:rsid w:val="00E96A44"/>
    <w:rsid w:val="00E97661"/>
    <w:rsid w:val="00E9769F"/>
    <w:rsid w:val="00E97A59"/>
    <w:rsid w:val="00EA0843"/>
    <w:rsid w:val="00EA0E2D"/>
    <w:rsid w:val="00EA18C2"/>
    <w:rsid w:val="00EA32C6"/>
    <w:rsid w:val="00EA39E3"/>
    <w:rsid w:val="00EA4133"/>
    <w:rsid w:val="00EA434E"/>
    <w:rsid w:val="00EA43AC"/>
    <w:rsid w:val="00EA4550"/>
    <w:rsid w:val="00EA6023"/>
    <w:rsid w:val="00EA6754"/>
    <w:rsid w:val="00EA7D21"/>
    <w:rsid w:val="00EB0853"/>
    <w:rsid w:val="00EB0D78"/>
    <w:rsid w:val="00EB1387"/>
    <w:rsid w:val="00EB1B1A"/>
    <w:rsid w:val="00EB2C27"/>
    <w:rsid w:val="00EB4741"/>
    <w:rsid w:val="00EB5351"/>
    <w:rsid w:val="00EB6770"/>
    <w:rsid w:val="00EB74A0"/>
    <w:rsid w:val="00EB78C7"/>
    <w:rsid w:val="00EC026C"/>
    <w:rsid w:val="00EC0437"/>
    <w:rsid w:val="00EC1D33"/>
    <w:rsid w:val="00EC249F"/>
    <w:rsid w:val="00EC293D"/>
    <w:rsid w:val="00EC39F4"/>
    <w:rsid w:val="00EC3E60"/>
    <w:rsid w:val="00EC4393"/>
    <w:rsid w:val="00EC4417"/>
    <w:rsid w:val="00EC49DB"/>
    <w:rsid w:val="00EC61DA"/>
    <w:rsid w:val="00EC6605"/>
    <w:rsid w:val="00EC6B4C"/>
    <w:rsid w:val="00ED01F4"/>
    <w:rsid w:val="00ED1402"/>
    <w:rsid w:val="00ED1803"/>
    <w:rsid w:val="00ED2144"/>
    <w:rsid w:val="00ED3340"/>
    <w:rsid w:val="00ED3942"/>
    <w:rsid w:val="00ED4A9A"/>
    <w:rsid w:val="00ED5C61"/>
    <w:rsid w:val="00ED5DB0"/>
    <w:rsid w:val="00ED6748"/>
    <w:rsid w:val="00ED6CD1"/>
    <w:rsid w:val="00EE03E2"/>
    <w:rsid w:val="00EE04DD"/>
    <w:rsid w:val="00EE058D"/>
    <w:rsid w:val="00EE14D1"/>
    <w:rsid w:val="00EE1A16"/>
    <w:rsid w:val="00EE1C8B"/>
    <w:rsid w:val="00EE2894"/>
    <w:rsid w:val="00EE40BE"/>
    <w:rsid w:val="00EE417E"/>
    <w:rsid w:val="00EE4208"/>
    <w:rsid w:val="00EE4DF6"/>
    <w:rsid w:val="00EE510B"/>
    <w:rsid w:val="00EE6660"/>
    <w:rsid w:val="00EE6A9D"/>
    <w:rsid w:val="00EE6B71"/>
    <w:rsid w:val="00EE7656"/>
    <w:rsid w:val="00EE772B"/>
    <w:rsid w:val="00EF0153"/>
    <w:rsid w:val="00EF041E"/>
    <w:rsid w:val="00EF1255"/>
    <w:rsid w:val="00EF16FB"/>
    <w:rsid w:val="00EF173D"/>
    <w:rsid w:val="00EF33D2"/>
    <w:rsid w:val="00EF3FD5"/>
    <w:rsid w:val="00EF404C"/>
    <w:rsid w:val="00EF4419"/>
    <w:rsid w:val="00EF44B8"/>
    <w:rsid w:val="00EF4EC0"/>
    <w:rsid w:val="00EF557A"/>
    <w:rsid w:val="00EF58AF"/>
    <w:rsid w:val="00EF5948"/>
    <w:rsid w:val="00EF6674"/>
    <w:rsid w:val="00EF677B"/>
    <w:rsid w:val="00EF7A80"/>
    <w:rsid w:val="00F00D82"/>
    <w:rsid w:val="00F012F3"/>
    <w:rsid w:val="00F01931"/>
    <w:rsid w:val="00F02032"/>
    <w:rsid w:val="00F025BE"/>
    <w:rsid w:val="00F02D2E"/>
    <w:rsid w:val="00F03478"/>
    <w:rsid w:val="00F03599"/>
    <w:rsid w:val="00F03D7B"/>
    <w:rsid w:val="00F04E73"/>
    <w:rsid w:val="00F05BF0"/>
    <w:rsid w:val="00F05C4A"/>
    <w:rsid w:val="00F06C78"/>
    <w:rsid w:val="00F06D80"/>
    <w:rsid w:val="00F075E4"/>
    <w:rsid w:val="00F109DE"/>
    <w:rsid w:val="00F11003"/>
    <w:rsid w:val="00F11823"/>
    <w:rsid w:val="00F11A30"/>
    <w:rsid w:val="00F12DB5"/>
    <w:rsid w:val="00F13D59"/>
    <w:rsid w:val="00F14D18"/>
    <w:rsid w:val="00F16FD4"/>
    <w:rsid w:val="00F17137"/>
    <w:rsid w:val="00F17957"/>
    <w:rsid w:val="00F20B16"/>
    <w:rsid w:val="00F20D18"/>
    <w:rsid w:val="00F20D46"/>
    <w:rsid w:val="00F20D80"/>
    <w:rsid w:val="00F20F46"/>
    <w:rsid w:val="00F215BE"/>
    <w:rsid w:val="00F22BB1"/>
    <w:rsid w:val="00F2377D"/>
    <w:rsid w:val="00F23887"/>
    <w:rsid w:val="00F23AAE"/>
    <w:rsid w:val="00F23AE5"/>
    <w:rsid w:val="00F23E58"/>
    <w:rsid w:val="00F23E79"/>
    <w:rsid w:val="00F240CE"/>
    <w:rsid w:val="00F24942"/>
    <w:rsid w:val="00F249F8"/>
    <w:rsid w:val="00F254D7"/>
    <w:rsid w:val="00F25C7D"/>
    <w:rsid w:val="00F2608F"/>
    <w:rsid w:val="00F261F6"/>
    <w:rsid w:val="00F2714A"/>
    <w:rsid w:val="00F27ACB"/>
    <w:rsid w:val="00F3044E"/>
    <w:rsid w:val="00F30F49"/>
    <w:rsid w:val="00F311FF"/>
    <w:rsid w:val="00F31A53"/>
    <w:rsid w:val="00F31AB8"/>
    <w:rsid w:val="00F32C90"/>
    <w:rsid w:val="00F32F32"/>
    <w:rsid w:val="00F341FE"/>
    <w:rsid w:val="00F345EB"/>
    <w:rsid w:val="00F354CB"/>
    <w:rsid w:val="00F35511"/>
    <w:rsid w:val="00F35607"/>
    <w:rsid w:val="00F36050"/>
    <w:rsid w:val="00F40CF1"/>
    <w:rsid w:val="00F4157F"/>
    <w:rsid w:val="00F41638"/>
    <w:rsid w:val="00F42F4C"/>
    <w:rsid w:val="00F43B18"/>
    <w:rsid w:val="00F443AB"/>
    <w:rsid w:val="00F44856"/>
    <w:rsid w:val="00F44EF7"/>
    <w:rsid w:val="00F44F5D"/>
    <w:rsid w:val="00F455F2"/>
    <w:rsid w:val="00F457B2"/>
    <w:rsid w:val="00F45A62"/>
    <w:rsid w:val="00F45DF0"/>
    <w:rsid w:val="00F46B87"/>
    <w:rsid w:val="00F47205"/>
    <w:rsid w:val="00F47D44"/>
    <w:rsid w:val="00F51467"/>
    <w:rsid w:val="00F51DB1"/>
    <w:rsid w:val="00F5214B"/>
    <w:rsid w:val="00F52498"/>
    <w:rsid w:val="00F52543"/>
    <w:rsid w:val="00F52683"/>
    <w:rsid w:val="00F52973"/>
    <w:rsid w:val="00F52D2D"/>
    <w:rsid w:val="00F535D7"/>
    <w:rsid w:val="00F549AE"/>
    <w:rsid w:val="00F54C7E"/>
    <w:rsid w:val="00F5643A"/>
    <w:rsid w:val="00F56BD6"/>
    <w:rsid w:val="00F5715A"/>
    <w:rsid w:val="00F57742"/>
    <w:rsid w:val="00F60B69"/>
    <w:rsid w:val="00F60E2D"/>
    <w:rsid w:val="00F61B3D"/>
    <w:rsid w:val="00F61F25"/>
    <w:rsid w:val="00F62DFD"/>
    <w:rsid w:val="00F6357D"/>
    <w:rsid w:val="00F642E1"/>
    <w:rsid w:val="00F64908"/>
    <w:rsid w:val="00F65F63"/>
    <w:rsid w:val="00F66E7C"/>
    <w:rsid w:val="00F673C6"/>
    <w:rsid w:val="00F67670"/>
    <w:rsid w:val="00F67674"/>
    <w:rsid w:val="00F67ABF"/>
    <w:rsid w:val="00F67C5B"/>
    <w:rsid w:val="00F70A28"/>
    <w:rsid w:val="00F72AB1"/>
    <w:rsid w:val="00F73680"/>
    <w:rsid w:val="00F74D61"/>
    <w:rsid w:val="00F774D2"/>
    <w:rsid w:val="00F775EB"/>
    <w:rsid w:val="00F80B83"/>
    <w:rsid w:val="00F81F7D"/>
    <w:rsid w:val="00F82CD9"/>
    <w:rsid w:val="00F82F5C"/>
    <w:rsid w:val="00F82FB8"/>
    <w:rsid w:val="00F85E31"/>
    <w:rsid w:val="00F86DFF"/>
    <w:rsid w:val="00F8783C"/>
    <w:rsid w:val="00F87DBE"/>
    <w:rsid w:val="00F87E5F"/>
    <w:rsid w:val="00F9010B"/>
    <w:rsid w:val="00F90E62"/>
    <w:rsid w:val="00F911D0"/>
    <w:rsid w:val="00F91259"/>
    <w:rsid w:val="00F91313"/>
    <w:rsid w:val="00F9223D"/>
    <w:rsid w:val="00F92FCA"/>
    <w:rsid w:val="00F952F2"/>
    <w:rsid w:val="00F965DC"/>
    <w:rsid w:val="00F96C23"/>
    <w:rsid w:val="00F9722B"/>
    <w:rsid w:val="00F975BE"/>
    <w:rsid w:val="00F9765E"/>
    <w:rsid w:val="00F97757"/>
    <w:rsid w:val="00F97862"/>
    <w:rsid w:val="00FA108B"/>
    <w:rsid w:val="00FA218A"/>
    <w:rsid w:val="00FA2D59"/>
    <w:rsid w:val="00FA2DD8"/>
    <w:rsid w:val="00FA2E11"/>
    <w:rsid w:val="00FA356F"/>
    <w:rsid w:val="00FA39B3"/>
    <w:rsid w:val="00FA3C79"/>
    <w:rsid w:val="00FA4597"/>
    <w:rsid w:val="00FA4C3E"/>
    <w:rsid w:val="00FA554C"/>
    <w:rsid w:val="00FA5AC0"/>
    <w:rsid w:val="00FA6096"/>
    <w:rsid w:val="00FA76AA"/>
    <w:rsid w:val="00FA7B19"/>
    <w:rsid w:val="00FB0762"/>
    <w:rsid w:val="00FB13A7"/>
    <w:rsid w:val="00FB184C"/>
    <w:rsid w:val="00FB1CBC"/>
    <w:rsid w:val="00FB24A0"/>
    <w:rsid w:val="00FB2EE4"/>
    <w:rsid w:val="00FB36A4"/>
    <w:rsid w:val="00FB3849"/>
    <w:rsid w:val="00FB4155"/>
    <w:rsid w:val="00FB4AF5"/>
    <w:rsid w:val="00FB4F83"/>
    <w:rsid w:val="00FB5292"/>
    <w:rsid w:val="00FB6137"/>
    <w:rsid w:val="00FB6AEC"/>
    <w:rsid w:val="00FB6DB5"/>
    <w:rsid w:val="00FC0222"/>
    <w:rsid w:val="00FC0289"/>
    <w:rsid w:val="00FC048F"/>
    <w:rsid w:val="00FC0B6C"/>
    <w:rsid w:val="00FC2399"/>
    <w:rsid w:val="00FC2979"/>
    <w:rsid w:val="00FC488D"/>
    <w:rsid w:val="00FC4A6B"/>
    <w:rsid w:val="00FC576A"/>
    <w:rsid w:val="00FC60AF"/>
    <w:rsid w:val="00FC670B"/>
    <w:rsid w:val="00FC6781"/>
    <w:rsid w:val="00FC6BCF"/>
    <w:rsid w:val="00FD007E"/>
    <w:rsid w:val="00FD176A"/>
    <w:rsid w:val="00FD1A4D"/>
    <w:rsid w:val="00FD1A66"/>
    <w:rsid w:val="00FD1AAF"/>
    <w:rsid w:val="00FD20A0"/>
    <w:rsid w:val="00FD231E"/>
    <w:rsid w:val="00FD37BB"/>
    <w:rsid w:val="00FD3D0A"/>
    <w:rsid w:val="00FD3F2D"/>
    <w:rsid w:val="00FD422D"/>
    <w:rsid w:val="00FD4854"/>
    <w:rsid w:val="00FD4E1E"/>
    <w:rsid w:val="00FD53BD"/>
    <w:rsid w:val="00FD56CE"/>
    <w:rsid w:val="00FD598B"/>
    <w:rsid w:val="00FD6B27"/>
    <w:rsid w:val="00FD713A"/>
    <w:rsid w:val="00FD7B5A"/>
    <w:rsid w:val="00FE0084"/>
    <w:rsid w:val="00FE01E4"/>
    <w:rsid w:val="00FE0611"/>
    <w:rsid w:val="00FE2DC8"/>
    <w:rsid w:val="00FE309E"/>
    <w:rsid w:val="00FE3166"/>
    <w:rsid w:val="00FE3272"/>
    <w:rsid w:val="00FE35D4"/>
    <w:rsid w:val="00FE361F"/>
    <w:rsid w:val="00FE36DA"/>
    <w:rsid w:val="00FE3D62"/>
    <w:rsid w:val="00FE4732"/>
    <w:rsid w:val="00FE5451"/>
    <w:rsid w:val="00FE6487"/>
    <w:rsid w:val="00FE6613"/>
    <w:rsid w:val="00FF112F"/>
    <w:rsid w:val="00FF162B"/>
    <w:rsid w:val="00FF20DD"/>
    <w:rsid w:val="00FF2A87"/>
    <w:rsid w:val="00FF4646"/>
    <w:rsid w:val="00FF4BB3"/>
    <w:rsid w:val="00FF596A"/>
    <w:rsid w:val="00FF59F2"/>
    <w:rsid w:val="00FF5F30"/>
    <w:rsid w:val="00FF78E3"/>
    <w:rsid w:val="00FF7AA1"/>
    <w:rsid w:val="00FF7C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F7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851"/>
      </w:tabs>
      <w:jc w:val="both"/>
    </w:pPr>
    <w:rPr>
      <w:rFonts w:ascii="Arial" w:hAnsi="Arial"/>
      <w:sz w:val="22"/>
      <w:lang w:eastAsia="en-US"/>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rPr>
      <w:sz w:val="18"/>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pPr>
      <w:jc w:val="left"/>
    </w:pPr>
    <w:rPr>
      <w:szCs w:val="24"/>
      <w:lang w:val="pl-PL" w:eastAsia="pl-PL"/>
    </w:rPr>
  </w:style>
  <w:style w:type="character" w:styleId="FootnoteReference">
    <w:name w:val="footnote reference"/>
    <w:aliases w:val="Footnote Reference/,Appel note de bas de p,4_G,Footnote symbol,Footnote reference number,note TESI,BVI fnr,Nota,SUPERS,Footnote number,Footnote Reference Superscript,EN Footnote Reference,-E Fußnotenzeichen,number Char Char,number,Ref"/>
    <w:rPr>
      <w:rFonts w:ascii="Arial" w:hAnsi="Arial"/>
      <w:sz w:val="22"/>
      <w:vertAlign w:val="superscript"/>
    </w:rPr>
  </w:style>
  <w:style w:type="paragraph" w:styleId="FootnoteText">
    <w:name w:val="footnote text"/>
    <w:basedOn w:val="Normal"/>
    <w:link w:val="FootnoteTextChar"/>
    <w:uiPriority w:val="99"/>
    <w:pPr>
      <w:tabs>
        <w:tab w:val="clear" w:pos="851"/>
        <w:tab w:val="left" w:pos="567"/>
      </w:tabs>
      <w:ind w:left="567" w:hanging="567"/>
    </w:pPr>
    <w:rPr>
      <w:sz w:val="18"/>
    </w:rPr>
  </w:style>
  <w:style w:type="character" w:customStyle="1" w:styleId="FooterChar">
    <w:name w:val="Footer Char"/>
    <w:basedOn w:val="DefaultParagraphFont"/>
    <w:link w:val="Footer"/>
    <w:uiPriority w:val="99"/>
    <w:rsid w:val="00630A78"/>
    <w:rPr>
      <w:rFonts w:ascii="Arial" w:hAnsi="Arial"/>
      <w:sz w:val="18"/>
      <w:lang w:eastAsia="en-US"/>
    </w:rPr>
  </w:style>
  <w:style w:type="character" w:customStyle="1" w:styleId="FootnoteTextChar">
    <w:name w:val="Footnote Text Char"/>
    <w:basedOn w:val="DefaultParagraphFont"/>
    <w:link w:val="FootnoteText"/>
    <w:uiPriority w:val="99"/>
    <w:rsid w:val="00A630FA"/>
    <w:rPr>
      <w:rFonts w:ascii="Arial" w:hAnsi="Arial"/>
      <w:sz w:val="18"/>
      <w:lang w:eastAsia="en-US"/>
    </w:rPr>
  </w:style>
  <w:style w:type="paragraph" w:styleId="ListParagraph">
    <w:name w:val="List Paragraph"/>
    <w:basedOn w:val="Normal"/>
    <w:uiPriority w:val="34"/>
    <w:qFormat/>
    <w:rsid w:val="00A630FA"/>
    <w:pPr>
      <w:tabs>
        <w:tab w:val="clear" w:pos="851"/>
      </w:tabs>
      <w:ind w:left="720"/>
      <w:contextualSpacing/>
      <w:jc w:val="left"/>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A630FA"/>
    <w:rPr>
      <w:rFonts w:ascii="Arial" w:hAnsi="Arial"/>
      <w:sz w:val="22"/>
      <w:lang w:eastAsia="en-US"/>
    </w:rPr>
  </w:style>
  <w:style w:type="paragraph" w:customStyle="1" w:styleId="Default">
    <w:name w:val="Default"/>
    <w:rsid w:val="00A630FA"/>
    <w:pPr>
      <w:autoSpaceDE w:val="0"/>
      <w:autoSpaceDN w:val="0"/>
      <w:adjustRightInd w:val="0"/>
    </w:pPr>
    <w:rPr>
      <w:rFonts w:ascii="Arial" w:eastAsiaTheme="minorHAnsi" w:hAnsi="Arial" w:cs="Arial"/>
      <w:color w:val="000000"/>
      <w:sz w:val="24"/>
      <w:szCs w:val="24"/>
      <w:lang w:eastAsia="en-US"/>
    </w:rPr>
  </w:style>
  <w:style w:type="paragraph" w:styleId="BalloonText">
    <w:name w:val="Balloon Text"/>
    <w:basedOn w:val="Normal"/>
    <w:link w:val="BalloonTextChar"/>
    <w:uiPriority w:val="99"/>
    <w:semiHidden/>
    <w:unhideWhenUsed/>
    <w:rsid w:val="00A630FA"/>
    <w:pPr>
      <w:tabs>
        <w:tab w:val="clear" w:pos="851"/>
      </w:tabs>
      <w:jc w:val="left"/>
    </w:pPr>
    <w:rPr>
      <w:rFonts w:ascii="Segoe UI" w:hAnsi="Segoe UI" w:cs="Segoe UI"/>
      <w:sz w:val="18"/>
      <w:szCs w:val="18"/>
      <w:lang w:eastAsia="en-GB"/>
    </w:rPr>
  </w:style>
  <w:style w:type="character" w:customStyle="1" w:styleId="BalloonTextChar">
    <w:name w:val="Balloon Text Char"/>
    <w:basedOn w:val="DefaultParagraphFont"/>
    <w:link w:val="BalloonText"/>
    <w:uiPriority w:val="99"/>
    <w:semiHidden/>
    <w:rsid w:val="00A630FA"/>
    <w:rPr>
      <w:rFonts w:ascii="Segoe UI" w:hAnsi="Segoe UI" w:cs="Segoe UI"/>
      <w:sz w:val="18"/>
      <w:szCs w:val="18"/>
      <w:lang w:eastAsia="en-GB"/>
    </w:rPr>
  </w:style>
  <w:style w:type="character" w:styleId="Hyperlink">
    <w:name w:val="Hyperlink"/>
    <w:basedOn w:val="DefaultParagraphFont"/>
    <w:uiPriority w:val="99"/>
    <w:unhideWhenUsed/>
    <w:rsid w:val="00A630FA"/>
    <w:rPr>
      <w:color w:val="0563C1" w:themeColor="hyperlink"/>
      <w:u w:val="single"/>
    </w:rPr>
  </w:style>
  <w:style w:type="character" w:styleId="FollowedHyperlink">
    <w:name w:val="FollowedHyperlink"/>
    <w:basedOn w:val="DefaultParagraphFont"/>
    <w:uiPriority w:val="99"/>
    <w:semiHidden/>
    <w:unhideWhenUsed/>
    <w:rsid w:val="00A630FA"/>
    <w:rPr>
      <w:color w:val="954F72" w:themeColor="followedHyperlink"/>
      <w:u w:val="single"/>
    </w:rPr>
  </w:style>
  <w:style w:type="character" w:styleId="CommentReference">
    <w:name w:val="annotation reference"/>
    <w:basedOn w:val="DefaultParagraphFont"/>
    <w:uiPriority w:val="99"/>
    <w:semiHidden/>
    <w:unhideWhenUsed/>
    <w:rsid w:val="0093475E"/>
    <w:rPr>
      <w:sz w:val="16"/>
      <w:szCs w:val="16"/>
    </w:rPr>
  </w:style>
  <w:style w:type="paragraph" w:styleId="CommentText">
    <w:name w:val="annotation text"/>
    <w:basedOn w:val="Normal"/>
    <w:link w:val="CommentTextChar"/>
    <w:uiPriority w:val="99"/>
    <w:unhideWhenUsed/>
    <w:rsid w:val="0093475E"/>
    <w:rPr>
      <w:sz w:val="20"/>
    </w:rPr>
  </w:style>
  <w:style w:type="character" w:customStyle="1" w:styleId="CommentTextChar">
    <w:name w:val="Comment Text Char"/>
    <w:basedOn w:val="DefaultParagraphFont"/>
    <w:link w:val="CommentText"/>
    <w:uiPriority w:val="99"/>
    <w:rsid w:val="009347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3475E"/>
    <w:rPr>
      <w:b/>
      <w:bCs/>
    </w:rPr>
  </w:style>
  <w:style w:type="character" w:customStyle="1" w:styleId="CommentSubjectChar">
    <w:name w:val="Comment Subject Char"/>
    <w:basedOn w:val="CommentTextChar"/>
    <w:link w:val="CommentSubject"/>
    <w:uiPriority w:val="99"/>
    <w:semiHidden/>
    <w:rsid w:val="0093475E"/>
    <w:rPr>
      <w:rFonts w:ascii="Arial" w:hAnsi="Arial"/>
      <w:b/>
      <w:bCs/>
      <w:lang w:eastAsia="en-US"/>
    </w:rPr>
  </w:style>
  <w:style w:type="paragraph" w:styleId="Revision">
    <w:name w:val="Revision"/>
    <w:hidden/>
    <w:uiPriority w:val="99"/>
    <w:semiHidden/>
    <w:rsid w:val="00B377C7"/>
    <w:rPr>
      <w:rFonts w:ascii="Arial" w:hAnsi="Arial"/>
      <w:sz w:val="22"/>
      <w:lang w:eastAsia="en-US"/>
    </w:rPr>
  </w:style>
  <w:style w:type="character" w:styleId="UnresolvedMention">
    <w:name w:val="Unresolved Mention"/>
    <w:basedOn w:val="DefaultParagraphFont"/>
    <w:uiPriority w:val="99"/>
    <w:semiHidden/>
    <w:unhideWhenUsed/>
    <w:rsid w:val="0073358D"/>
    <w:rPr>
      <w:color w:val="605E5C"/>
      <w:shd w:val="clear" w:color="auto" w:fill="E1DFDD"/>
    </w:rPr>
  </w:style>
  <w:style w:type="paragraph" w:styleId="EndnoteText">
    <w:name w:val="endnote text"/>
    <w:basedOn w:val="Normal"/>
    <w:link w:val="EndnoteTextChar"/>
    <w:uiPriority w:val="99"/>
    <w:semiHidden/>
    <w:unhideWhenUsed/>
    <w:rsid w:val="00AC37BA"/>
    <w:rPr>
      <w:sz w:val="20"/>
    </w:rPr>
  </w:style>
  <w:style w:type="character" w:customStyle="1" w:styleId="EndnoteTextChar">
    <w:name w:val="Endnote Text Char"/>
    <w:basedOn w:val="DefaultParagraphFont"/>
    <w:link w:val="EndnoteText"/>
    <w:uiPriority w:val="99"/>
    <w:semiHidden/>
    <w:rsid w:val="00AC37BA"/>
    <w:rPr>
      <w:rFonts w:ascii="Arial" w:hAnsi="Arial"/>
      <w:lang w:eastAsia="en-US"/>
    </w:rPr>
  </w:style>
  <w:style w:type="character" w:styleId="EndnoteReference">
    <w:name w:val="endnote reference"/>
    <w:basedOn w:val="DefaultParagraphFont"/>
    <w:uiPriority w:val="99"/>
    <w:semiHidden/>
    <w:unhideWhenUsed/>
    <w:rsid w:val="00AC37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2998">
      <w:bodyDiv w:val="1"/>
      <w:marLeft w:val="0"/>
      <w:marRight w:val="0"/>
      <w:marTop w:val="0"/>
      <w:marBottom w:val="0"/>
      <w:divBdr>
        <w:top w:val="none" w:sz="0" w:space="0" w:color="auto"/>
        <w:left w:val="none" w:sz="0" w:space="0" w:color="auto"/>
        <w:bottom w:val="none" w:sz="0" w:space="0" w:color="auto"/>
        <w:right w:val="none" w:sz="0" w:space="0" w:color="auto"/>
      </w:divBdr>
    </w:div>
    <w:div w:id="43524777">
      <w:bodyDiv w:val="1"/>
      <w:marLeft w:val="0"/>
      <w:marRight w:val="0"/>
      <w:marTop w:val="0"/>
      <w:marBottom w:val="0"/>
      <w:divBdr>
        <w:top w:val="none" w:sz="0" w:space="0" w:color="auto"/>
        <w:left w:val="none" w:sz="0" w:space="0" w:color="auto"/>
        <w:bottom w:val="none" w:sz="0" w:space="0" w:color="auto"/>
        <w:right w:val="none" w:sz="0" w:space="0" w:color="auto"/>
      </w:divBdr>
    </w:div>
    <w:div w:id="554396791">
      <w:bodyDiv w:val="1"/>
      <w:marLeft w:val="0"/>
      <w:marRight w:val="0"/>
      <w:marTop w:val="0"/>
      <w:marBottom w:val="0"/>
      <w:divBdr>
        <w:top w:val="none" w:sz="0" w:space="0" w:color="auto"/>
        <w:left w:val="none" w:sz="0" w:space="0" w:color="auto"/>
        <w:bottom w:val="none" w:sz="0" w:space="0" w:color="auto"/>
        <w:right w:val="none" w:sz="0" w:space="0" w:color="auto"/>
      </w:divBdr>
    </w:div>
    <w:div w:id="678507678">
      <w:bodyDiv w:val="1"/>
      <w:marLeft w:val="0"/>
      <w:marRight w:val="0"/>
      <w:marTop w:val="0"/>
      <w:marBottom w:val="0"/>
      <w:divBdr>
        <w:top w:val="none" w:sz="0" w:space="0" w:color="auto"/>
        <w:left w:val="none" w:sz="0" w:space="0" w:color="auto"/>
        <w:bottom w:val="none" w:sz="0" w:space="0" w:color="auto"/>
        <w:right w:val="none" w:sz="0" w:space="0" w:color="auto"/>
      </w:divBdr>
    </w:div>
    <w:div w:id="756903825">
      <w:bodyDiv w:val="1"/>
      <w:marLeft w:val="0"/>
      <w:marRight w:val="0"/>
      <w:marTop w:val="0"/>
      <w:marBottom w:val="0"/>
      <w:divBdr>
        <w:top w:val="none" w:sz="0" w:space="0" w:color="auto"/>
        <w:left w:val="none" w:sz="0" w:space="0" w:color="auto"/>
        <w:bottom w:val="none" w:sz="0" w:space="0" w:color="auto"/>
        <w:right w:val="none" w:sz="0" w:space="0" w:color="auto"/>
      </w:divBdr>
    </w:div>
    <w:div w:id="786310785">
      <w:bodyDiv w:val="1"/>
      <w:marLeft w:val="0"/>
      <w:marRight w:val="0"/>
      <w:marTop w:val="0"/>
      <w:marBottom w:val="0"/>
      <w:divBdr>
        <w:top w:val="none" w:sz="0" w:space="0" w:color="auto"/>
        <w:left w:val="none" w:sz="0" w:space="0" w:color="auto"/>
        <w:bottom w:val="none" w:sz="0" w:space="0" w:color="auto"/>
        <w:right w:val="none" w:sz="0" w:space="0" w:color="auto"/>
      </w:divBdr>
    </w:div>
    <w:div w:id="840631174">
      <w:bodyDiv w:val="1"/>
      <w:marLeft w:val="0"/>
      <w:marRight w:val="0"/>
      <w:marTop w:val="0"/>
      <w:marBottom w:val="0"/>
      <w:divBdr>
        <w:top w:val="none" w:sz="0" w:space="0" w:color="auto"/>
        <w:left w:val="none" w:sz="0" w:space="0" w:color="auto"/>
        <w:bottom w:val="none" w:sz="0" w:space="0" w:color="auto"/>
        <w:right w:val="none" w:sz="0" w:space="0" w:color="auto"/>
      </w:divBdr>
    </w:div>
    <w:div w:id="1069883640">
      <w:bodyDiv w:val="1"/>
      <w:marLeft w:val="0"/>
      <w:marRight w:val="0"/>
      <w:marTop w:val="0"/>
      <w:marBottom w:val="0"/>
      <w:divBdr>
        <w:top w:val="none" w:sz="0" w:space="0" w:color="auto"/>
        <w:left w:val="none" w:sz="0" w:space="0" w:color="auto"/>
        <w:bottom w:val="none" w:sz="0" w:space="0" w:color="auto"/>
        <w:right w:val="none" w:sz="0" w:space="0" w:color="auto"/>
      </w:divBdr>
    </w:div>
    <w:div w:id="1195532581">
      <w:bodyDiv w:val="1"/>
      <w:marLeft w:val="0"/>
      <w:marRight w:val="0"/>
      <w:marTop w:val="0"/>
      <w:marBottom w:val="0"/>
      <w:divBdr>
        <w:top w:val="none" w:sz="0" w:space="0" w:color="auto"/>
        <w:left w:val="none" w:sz="0" w:space="0" w:color="auto"/>
        <w:bottom w:val="none" w:sz="0" w:space="0" w:color="auto"/>
        <w:right w:val="none" w:sz="0" w:space="0" w:color="auto"/>
      </w:divBdr>
    </w:div>
    <w:div w:id="1536697480">
      <w:bodyDiv w:val="1"/>
      <w:marLeft w:val="0"/>
      <w:marRight w:val="0"/>
      <w:marTop w:val="0"/>
      <w:marBottom w:val="0"/>
      <w:divBdr>
        <w:top w:val="none" w:sz="0" w:space="0" w:color="auto"/>
        <w:left w:val="none" w:sz="0" w:space="0" w:color="auto"/>
        <w:bottom w:val="none" w:sz="0" w:space="0" w:color="auto"/>
        <w:right w:val="none" w:sz="0" w:space="0" w:color="auto"/>
      </w:divBdr>
    </w:div>
    <w:div w:id="1626542482">
      <w:bodyDiv w:val="1"/>
      <w:marLeft w:val="0"/>
      <w:marRight w:val="0"/>
      <w:marTop w:val="0"/>
      <w:marBottom w:val="0"/>
      <w:divBdr>
        <w:top w:val="none" w:sz="0" w:space="0" w:color="auto"/>
        <w:left w:val="none" w:sz="0" w:space="0" w:color="auto"/>
        <w:bottom w:val="none" w:sz="0" w:space="0" w:color="auto"/>
        <w:right w:val="none" w:sz="0" w:space="0" w:color="auto"/>
      </w:divBdr>
    </w:div>
    <w:div w:id="211277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9EEF34719A14FBEF28F13B9E77665" ma:contentTypeVersion="16" ma:contentTypeDescription="Create a new document." ma:contentTypeScope="" ma:versionID="f9ab9ea58eea0f5cfb797b7b358678d0">
  <xsd:schema xmlns:xsd="http://www.w3.org/2001/XMLSchema" xmlns:xs="http://www.w3.org/2001/XMLSchema" xmlns:p="http://schemas.microsoft.com/office/2006/metadata/properties" xmlns:ns2="ac8fa5da-c185-4f36-bf5d-daf77a41ca4d" xmlns:ns3="56d4f862-37b7-4985-84b7-245a598a2a30" targetNamespace="http://schemas.microsoft.com/office/2006/metadata/properties" ma:root="true" ma:fieldsID="0f26d810405fca3d859d75f6110d8a9e" ns2:_="" ns3:_="">
    <xsd:import namespace="ac8fa5da-c185-4f36-bf5d-daf77a41ca4d"/>
    <xsd:import namespace="56d4f862-37b7-4985-84b7-245a598a2a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fa5da-c185-4f36-bf5d-daf77a41ca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00da8aa-5c37-499c-821c-777c7eec41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4f862-37b7-4985-84b7-245a598a2a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d813f8b-fa0a-425b-96a8-60b055ce5f89}" ma:internalName="TaxCatchAll" ma:showField="CatchAllData" ma:web="56d4f862-37b7-4985-84b7-245a598a2a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8fa5da-c185-4f36-bf5d-daf77a41ca4d">
      <Terms xmlns="http://schemas.microsoft.com/office/infopath/2007/PartnerControls"/>
    </lcf76f155ced4ddcb4097134ff3c332f>
    <TaxCatchAll xmlns="56d4f862-37b7-4985-84b7-245a598a2a3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2EDE5-C5D0-4373-8192-7EA9A6AE6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fa5da-c185-4f36-bf5d-daf77a41ca4d"/>
    <ds:schemaRef ds:uri="56d4f862-37b7-4985-84b7-245a598a2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9A7C03-878F-4B8A-A3B2-D8305CFF1787}">
  <ds:schemaRefs>
    <ds:schemaRef ds:uri="http://schemas.microsoft.com/office/2006/metadata/properties"/>
    <ds:schemaRef ds:uri="http://schemas.microsoft.com/office/infopath/2007/PartnerControls"/>
    <ds:schemaRef ds:uri="ac8fa5da-c185-4f36-bf5d-daf77a41ca4d"/>
    <ds:schemaRef ds:uri="56d4f862-37b7-4985-84b7-245a598a2a30"/>
  </ds:schemaRefs>
</ds:datastoreItem>
</file>

<file path=customXml/itemProps3.xml><?xml version="1.0" encoding="utf-8"?>
<ds:datastoreItem xmlns:ds="http://schemas.openxmlformats.org/officeDocument/2006/customXml" ds:itemID="{909D7F77-3635-4DE1-81A4-82D60DD27B0F}">
  <ds:schemaRefs>
    <ds:schemaRef ds:uri="http://schemas.openxmlformats.org/officeDocument/2006/bibliography"/>
  </ds:schemaRefs>
</ds:datastoreItem>
</file>

<file path=customXml/itemProps4.xml><?xml version="1.0" encoding="utf-8"?>
<ds:datastoreItem xmlns:ds="http://schemas.openxmlformats.org/officeDocument/2006/customXml" ds:itemID="{8198A999-39E5-4711-85E4-787960EEA4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3713</Words>
  <Characters>21170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2023-11-10T13:24:00Z</dcterms:created>
  <dcterms:modified xsi:type="dcterms:W3CDTF">2023-11-10T15:27:00Z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0x0101004099EEF34719A14FBEF28F13B9E77665</vt:lpwstr>
  </property>
  <property fmtid="{D5CDD505-2E9C-101B-9397-08002B2CF9AE}" pid="3" name="MediaServiceImageTags">
    <vt:lpwstr/>
  </property>
</Properties>
</file>